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73330" w14:textId="77777777" w:rsidR="00C779A5" w:rsidRPr="008B3D38" w:rsidRDefault="00C779A5" w:rsidP="000C7CD6">
      <w:pPr>
        <w:rPr>
          <w:rFonts w:ascii="Tahoma" w:hAnsi="Tahoma" w:cs="Tahoma"/>
          <w:szCs w:val="22"/>
        </w:rPr>
      </w:pPr>
      <w:bookmarkStart w:id="1" w:name="_Toc473820380"/>
    </w:p>
    <w:p w14:paraId="290D08C1" w14:textId="77777777" w:rsidR="00C06B37" w:rsidRPr="00720121" w:rsidRDefault="00C06B37" w:rsidP="00C06B37">
      <w:pPr>
        <w:jc w:val="center"/>
        <w:rPr>
          <w:rFonts w:ascii="Century Gothic" w:hAnsi="Century Gothic"/>
          <w:b/>
          <w:bCs/>
          <w:sz w:val="32"/>
          <w:szCs w:val="36"/>
        </w:rPr>
      </w:pPr>
      <w:r w:rsidRPr="00720121">
        <w:rPr>
          <w:rFonts w:ascii="Century Gothic" w:hAnsi="Century Gothic"/>
          <w:b/>
          <w:bCs/>
          <w:sz w:val="32"/>
          <w:szCs w:val="36"/>
        </w:rPr>
        <w:t>Lightwave Community CIO (“Lightwave”)</w:t>
      </w:r>
    </w:p>
    <w:bookmarkEnd w:id="1"/>
    <w:p w14:paraId="59D43457" w14:textId="32E5BA2E" w:rsidR="00903F60" w:rsidRDefault="00903F60" w:rsidP="00903F60">
      <w:pPr>
        <w:jc w:val="center"/>
        <w:rPr>
          <w:rFonts w:ascii="Tahoma" w:hAnsi="Tahoma" w:cs="Tahoma"/>
          <w:b/>
        </w:rPr>
      </w:pPr>
      <w:r>
        <w:rPr>
          <w:rFonts w:ascii="Tahoma" w:hAnsi="Tahoma" w:cs="Tahoma"/>
          <w:b/>
        </w:rPr>
        <w:t xml:space="preserve">Equal Opportunities, </w:t>
      </w:r>
      <w:r w:rsidR="00A6785A">
        <w:rPr>
          <w:rFonts w:ascii="Tahoma" w:hAnsi="Tahoma" w:cs="Tahoma"/>
          <w:b/>
        </w:rPr>
        <w:t xml:space="preserve">Discrimination, </w:t>
      </w:r>
      <w:r w:rsidR="00E95B5E">
        <w:rPr>
          <w:rFonts w:ascii="Tahoma" w:hAnsi="Tahoma" w:cs="Tahoma"/>
          <w:b/>
        </w:rPr>
        <w:t xml:space="preserve">Bullying and </w:t>
      </w:r>
      <w:proofErr w:type="spellStart"/>
      <w:r w:rsidR="00E95B5E">
        <w:rPr>
          <w:rFonts w:ascii="Tahoma" w:hAnsi="Tahoma" w:cs="Tahoma"/>
          <w:b/>
        </w:rPr>
        <w:t>Harrassment</w:t>
      </w:r>
      <w:proofErr w:type="spellEnd"/>
      <w:r>
        <w:rPr>
          <w:rFonts w:ascii="Tahoma" w:hAnsi="Tahoma" w:cs="Tahoma"/>
          <w:b/>
        </w:rPr>
        <w:t xml:space="preserve"> Policy </w:t>
      </w:r>
    </w:p>
    <w:p w14:paraId="06023CDF" w14:textId="77777777" w:rsidR="00E95B5E" w:rsidRDefault="00E95B5E" w:rsidP="00903F60">
      <w:pPr>
        <w:jc w:val="center"/>
        <w:rPr>
          <w:rFonts w:ascii="Tahoma" w:hAnsi="Tahoma" w:cs="Tahoma"/>
          <w:b/>
        </w:rPr>
      </w:pPr>
    </w:p>
    <w:p w14:paraId="48DC4078" w14:textId="4572EAD1" w:rsidR="00FE7D58" w:rsidRPr="00FE7D58" w:rsidRDefault="002A1BBB" w:rsidP="00FE7D58">
      <w:pPr>
        <w:pStyle w:val="Heading1"/>
      </w:pPr>
      <w:bookmarkStart w:id="2" w:name="a481313"/>
      <w:bookmarkStart w:id="3" w:name="_Toc381867759"/>
      <w:r>
        <w:t>Introduction</w:t>
      </w:r>
    </w:p>
    <w:p w14:paraId="71E2383C" w14:textId="23A55C0B" w:rsidR="00B25975" w:rsidRPr="00FE7D58" w:rsidRDefault="00FE7D58" w:rsidP="00FE7D58">
      <w:pPr>
        <w:spacing w:beforeLines="60" w:before="144" w:afterLines="60" w:after="144"/>
        <w:rPr>
          <w:rFonts w:ascii="Tahoma" w:hAnsi="Tahoma" w:cs="Tahoma"/>
          <w:sz w:val="20"/>
          <w:szCs w:val="20"/>
        </w:rPr>
      </w:pPr>
      <w:r>
        <w:rPr>
          <w:rFonts w:ascii="Tahoma" w:hAnsi="Tahoma" w:cs="Tahoma"/>
          <w:sz w:val="20"/>
          <w:szCs w:val="20"/>
        </w:rPr>
        <w:t>Lightwave</w:t>
      </w:r>
      <w:r w:rsidRPr="00FE7D58">
        <w:rPr>
          <w:rFonts w:ascii="Tahoma" w:hAnsi="Tahoma" w:cs="Tahoma"/>
          <w:sz w:val="20"/>
          <w:szCs w:val="20"/>
        </w:rPr>
        <w:t xml:space="preserve"> is committed to the promotion of equality of opportunity in all fields of its activity in</w:t>
      </w:r>
      <w:r>
        <w:rPr>
          <w:rFonts w:ascii="Tahoma" w:hAnsi="Tahoma" w:cs="Tahoma"/>
          <w:sz w:val="20"/>
          <w:szCs w:val="20"/>
        </w:rPr>
        <w:t xml:space="preserve"> </w:t>
      </w:r>
      <w:r w:rsidRPr="00FE7D58">
        <w:rPr>
          <w:rFonts w:ascii="Tahoma" w:hAnsi="Tahoma" w:cs="Tahoma"/>
          <w:sz w:val="20"/>
          <w:szCs w:val="20"/>
        </w:rPr>
        <w:t>accordance with this Policy Statement.</w:t>
      </w:r>
      <w:r w:rsidR="00B25975">
        <w:rPr>
          <w:rFonts w:ascii="Tahoma" w:hAnsi="Tahoma" w:cs="Tahoma"/>
          <w:sz w:val="20"/>
          <w:szCs w:val="20"/>
        </w:rPr>
        <w:t xml:space="preserve"> This document should be read in conjunction with the Lightwave Recruitment Policy (including the recruitment of ex-offenders)</w:t>
      </w:r>
    </w:p>
    <w:p w14:paraId="23C527DD" w14:textId="1E146A62" w:rsidR="00FE7D58" w:rsidRPr="00FE7D58" w:rsidRDefault="00FE7D58" w:rsidP="002A1BBB">
      <w:pPr>
        <w:pStyle w:val="Heading1"/>
      </w:pPr>
      <w:r w:rsidRPr="00FE7D58">
        <w:t>Definitions</w:t>
      </w:r>
    </w:p>
    <w:p w14:paraId="0884572A" w14:textId="2FF7ADFB" w:rsidR="00FE7D58" w:rsidRPr="00FE7D58" w:rsidRDefault="00FE7D58" w:rsidP="00FE7D58">
      <w:pPr>
        <w:spacing w:beforeLines="60" w:before="144" w:afterLines="60" w:after="144"/>
        <w:rPr>
          <w:rFonts w:ascii="Tahoma" w:hAnsi="Tahoma" w:cs="Tahoma"/>
          <w:sz w:val="20"/>
          <w:szCs w:val="20"/>
        </w:rPr>
      </w:pPr>
      <w:r w:rsidRPr="002A1BBB">
        <w:rPr>
          <w:rFonts w:ascii="Tahoma" w:hAnsi="Tahoma" w:cs="Tahoma"/>
          <w:b/>
          <w:bCs/>
          <w:sz w:val="20"/>
          <w:szCs w:val="20"/>
        </w:rPr>
        <w:t xml:space="preserve">‘Protected Characteristic’ </w:t>
      </w:r>
      <w:r w:rsidRPr="00FE7D58">
        <w:rPr>
          <w:rFonts w:ascii="Tahoma" w:hAnsi="Tahoma" w:cs="Tahoma"/>
          <w:sz w:val="20"/>
          <w:szCs w:val="20"/>
        </w:rPr>
        <w:t>refers to sex, sexual orientation, colour, race, nationality or ethnic or</w:t>
      </w:r>
      <w:r w:rsidR="002A1BBB">
        <w:rPr>
          <w:rFonts w:ascii="Tahoma" w:hAnsi="Tahoma" w:cs="Tahoma"/>
          <w:sz w:val="20"/>
          <w:szCs w:val="20"/>
        </w:rPr>
        <w:t xml:space="preserve"> </w:t>
      </w:r>
      <w:r w:rsidRPr="00FE7D58">
        <w:rPr>
          <w:rFonts w:ascii="Tahoma" w:hAnsi="Tahoma" w:cs="Tahoma"/>
          <w:sz w:val="20"/>
          <w:szCs w:val="20"/>
        </w:rPr>
        <w:t>national origins, marriage and civil partnership, pregnancy and maternity, disability, age, gender</w:t>
      </w:r>
      <w:r w:rsidR="002A1BBB">
        <w:rPr>
          <w:rFonts w:ascii="Tahoma" w:hAnsi="Tahoma" w:cs="Tahoma"/>
          <w:sz w:val="20"/>
          <w:szCs w:val="20"/>
        </w:rPr>
        <w:t xml:space="preserve"> </w:t>
      </w:r>
      <w:r w:rsidRPr="00FE7D58">
        <w:rPr>
          <w:rFonts w:ascii="Tahoma" w:hAnsi="Tahoma" w:cs="Tahoma"/>
          <w:sz w:val="20"/>
          <w:szCs w:val="20"/>
        </w:rPr>
        <w:t>reassignment or religion or belief.</w:t>
      </w:r>
    </w:p>
    <w:p w14:paraId="12FFEF47" w14:textId="09E90B13" w:rsidR="00FE7D58" w:rsidRPr="00FE7D58" w:rsidRDefault="00FE7D58" w:rsidP="00FE7D58">
      <w:pPr>
        <w:spacing w:beforeLines="60" w:before="144" w:afterLines="60" w:after="144"/>
        <w:rPr>
          <w:rFonts w:ascii="Tahoma" w:hAnsi="Tahoma" w:cs="Tahoma"/>
          <w:sz w:val="20"/>
          <w:szCs w:val="20"/>
        </w:rPr>
      </w:pPr>
      <w:r w:rsidRPr="002A1BBB">
        <w:rPr>
          <w:rFonts w:ascii="Tahoma" w:hAnsi="Tahoma" w:cs="Tahoma"/>
          <w:b/>
          <w:bCs/>
          <w:sz w:val="20"/>
          <w:szCs w:val="20"/>
        </w:rPr>
        <w:t>‘Direct Discrimination’</w:t>
      </w:r>
      <w:r w:rsidRPr="00FE7D58">
        <w:rPr>
          <w:rFonts w:ascii="Tahoma" w:hAnsi="Tahoma" w:cs="Tahoma"/>
          <w:sz w:val="20"/>
          <w:szCs w:val="20"/>
        </w:rPr>
        <w:t xml:space="preserve"> is where a person is treated less favourably than others are, or would be, for</w:t>
      </w:r>
      <w:r w:rsidR="002A1BBB">
        <w:rPr>
          <w:rFonts w:ascii="Tahoma" w:hAnsi="Tahoma" w:cs="Tahoma"/>
          <w:sz w:val="20"/>
          <w:szCs w:val="20"/>
        </w:rPr>
        <w:t xml:space="preserve"> </w:t>
      </w:r>
      <w:r w:rsidRPr="00FE7D58">
        <w:rPr>
          <w:rFonts w:ascii="Tahoma" w:hAnsi="Tahoma" w:cs="Tahoma"/>
          <w:sz w:val="20"/>
          <w:szCs w:val="20"/>
        </w:rPr>
        <w:t>a reason related to one or more of the ‘Protected Characteristics’.</w:t>
      </w:r>
    </w:p>
    <w:p w14:paraId="0EA4A707" w14:textId="35AED748" w:rsidR="00FE7D58" w:rsidRPr="00FE7D58" w:rsidRDefault="00FE7D58" w:rsidP="00FE7D58">
      <w:pPr>
        <w:spacing w:beforeLines="60" w:before="144" w:afterLines="60" w:after="144"/>
        <w:rPr>
          <w:rFonts w:ascii="Tahoma" w:hAnsi="Tahoma" w:cs="Tahoma"/>
          <w:sz w:val="20"/>
          <w:szCs w:val="20"/>
        </w:rPr>
      </w:pPr>
      <w:r w:rsidRPr="002A1BBB">
        <w:rPr>
          <w:rFonts w:ascii="Tahoma" w:hAnsi="Tahoma" w:cs="Tahoma"/>
          <w:b/>
          <w:bCs/>
          <w:sz w:val="20"/>
          <w:szCs w:val="20"/>
        </w:rPr>
        <w:t>‘Indirect Discrimination’</w:t>
      </w:r>
      <w:r w:rsidRPr="00FE7D58">
        <w:rPr>
          <w:rFonts w:ascii="Tahoma" w:hAnsi="Tahoma" w:cs="Tahoma"/>
          <w:sz w:val="20"/>
          <w:szCs w:val="20"/>
        </w:rPr>
        <w:t xml:space="preserve"> occurs where an individual is subject to a provision, </w:t>
      </w:r>
      <w:proofErr w:type="gramStart"/>
      <w:r w:rsidRPr="00FE7D58">
        <w:rPr>
          <w:rFonts w:ascii="Tahoma" w:hAnsi="Tahoma" w:cs="Tahoma"/>
          <w:sz w:val="20"/>
          <w:szCs w:val="20"/>
        </w:rPr>
        <w:t>criterion</w:t>
      </w:r>
      <w:proofErr w:type="gramEnd"/>
      <w:r w:rsidRPr="00FE7D58">
        <w:rPr>
          <w:rFonts w:ascii="Tahoma" w:hAnsi="Tahoma" w:cs="Tahoma"/>
          <w:sz w:val="20"/>
          <w:szCs w:val="20"/>
        </w:rPr>
        <w:t xml:space="preserve"> or practice</w:t>
      </w:r>
      <w:r w:rsidR="002A1BBB">
        <w:rPr>
          <w:rFonts w:ascii="Tahoma" w:hAnsi="Tahoma" w:cs="Tahoma"/>
          <w:sz w:val="20"/>
          <w:szCs w:val="20"/>
        </w:rPr>
        <w:t xml:space="preserve"> </w:t>
      </w:r>
      <w:r w:rsidRPr="00FE7D58">
        <w:rPr>
          <w:rFonts w:ascii="Tahoma" w:hAnsi="Tahoma" w:cs="Tahoma"/>
          <w:sz w:val="20"/>
          <w:szCs w:val="20"/>
        </w:rPr>
        <w:t xml:space="preserve">which one protected group finds more difficult to comply with than another (even though on the face </w:t>
      </w:r>
      <w:proofErr w:type="spellStart"/>
      <w:r w:rsidRPr="00FE7D58">
        <w:rPr>
          <w:rFonts w:ascii="Tahoma" w:hAnsi="Tahoma" w:cs="Tahoma"/>
          <w:sz w:val="20"/>
          <w:szCs w:val="20"/>
        </w:rPr>
        <w:t>ofit</w:t>
      </w:r>
      <w:proofErr w:type="spellEnd"/>
      <w:r w:rsidRPr="00FE7D58">
        <w:rPr>
          <w:rFonts w:ascii="Tahoma" w:hAnsi="Tahoma" w:cs="Tahoma"/>
          <w:sz w:val="20"/>
          <w:szCs w:val="20"/>
        </w:rPr>
        <w:t xml:space="preserve"> the provision is neutral).</w:t>
      </w:r>
    </w:p>
    <w:p w14:paraId="5DA87A3A" w14:textId="0017FEC9" w:rsidR="00FE7D58" w:rsidRPr="00FE7D58" w:rsidRDefault="00FE7D58" w:rsidP="002A1BBB">
      <w:pPr>
        <w:pStyle w:val="Heading1"/>
      </w:pPr>
      <w:r w:rsidRPr="00FE7D58">
        <w:t>Policy Statement</w:t>
      </w:r>
    </w:p>
    <w:p w14:paraId="2365F63D" w14:textId="3CCD14C3" w:rsidR="00FE7D58" w:rsidRPr="00FE7D58" w:rsidRDefault="00FE7D58" w:rsidP="00FE7D58">
      <w:pPr>
        <w:spacing w:beforeLines="60" w:before="144" w:afterLines="60" w:after="144"/>
        <w:rPr>
          <w:rFonts w:ascii="Tahoma" w:hAnsi="Tahoma" w:cs="Tahoma"/>
          <w:sz w:val="20"/>
          <w:szCs w:val="20"/>
        </w:rPr>
      </w:pPr>
      <w:r>
        <w:rPr>
          <w:rFonts w:ascii="Tahoma" w:hAnsi="Tahoma" w:cs="Tahoma"/>
          <w:sz w:val="20"/>
          <w:szCs w:val="20"/>
        </w:rPr>
        <w:t>Lightwave</w:t>
      </w:r>
      <w:r w:rsidRPr="00FE7D58">
        <w:rPr>
          <w:rFonts w:ascii="Tahoma" w:hAnsi="Tahoma" w:cs="Tahoma"/>
          <w:sz w:val="20"/>
          <w:szCs w:val="20"/>
        </w:rPr>
        <w:t xml:space="preserve"> is an equal opportunities employer and will seek to ensure that:</w:t>
      </w:r>
    </w:p>
    <w:p w14:paraId="5746EB2A" w14:textId="3F838566" w:rsidR="00FE7D58" w:rsidRPr="00B25975" w:rsidRDefault="00B25975" w:rsidP="00B25975">
      <w:pPr>
        <w:pStyle w:val="ListParagraph"/>
      </w:pPr>
      <w:r w:rsidRPr="00B25975">
        <w:t>e</w:t>
      </w:r>
      <w:r w:rsidR="00FE7D58" w:rsidRPr="00B25975">
        <w:t xml:space="preserve">very job applicant and employee </w:t>
      </w:r>
      <w:r>
        <w:t xml:space="preserve">and volunteer </w:t>
      </w:r>
      <w:r w:rsidR="00FE7D58" w:rsidRPr="00B25975">
        <w:t>has the right not be treated less favourably as a result of one or</w:t>
      </w:r>
      <w:r w:rsidR="002A1BBB" w:rsidRPr="00B25975">
        <w:t xml:space="preserve"> </w:t>
      </w:r>
      <w:r w:rsidR="00FE7D58" w:rsidRPr="00B25975">
        <w:t>more Protected Characteristics except</w:t>
      </w:r>
      <w:r w:rsidR="002A1BBB" w:rsidRPr="00B25975">
        <w:t xml:space="preserve"> </w:t>
      </w:r>
      <w:r w:rsidR="00FE7D58" w:rsidRPr="00B25975">
        <w:t>in relation to religious belief where being a Christian or complying with a requirement related to</w:t>
      </w:r>
      <w:r w:rsidR="002A1BBB" w:rsidRPr="00B25975">
        <w:t xml:space="preserve"> </w:t>
      </w:r>
      <w:r w:rsidR="00FE7D58" w:rsidRPr="00B25975">
        <w:t>religious belief is an occupational requirement having regard to the ethos of Lightwave and the nature</w:t>
      </w:r>
      <w:r w:rsidR="002A1BBB" w:rsidRPr="00B25975">
        <w:t xml:space="preserve"> </w:t>
      </w:r>
      <w:r w:rsidR="00FE7D58" w:rsidRPr="00B25975">
        <w:t>of the employment or the context in which it is carried out;</w:t>
      </w:r>
    </w:p>
    <w:p w14:paraId="587499A6" w14:textId="3F1AD22B" w:rsidR="00B25975" w:rsidRDefault="00FE7D58" w:rsidP="00FE7D58">
      <w:pPr>
        <w:pStyle w:val="ListParagraph"/>
      </w:pPr>
      <w:r w:rsidRPr="00B25975">
        <w:t xml:space="preserve">persons already employed </w:t>
      </w:r>
      <w:r w:rsidR="00B25975">
        <w:t xml:space="preserve">or volunteering </w:t>
      </w:r>
      <w:r w:rsidRPr="00B25975">
        <w:t xml:space="preserve">will be made aware of the provisions of this </w:t>
      </w:r>
      <w:proofErr w:type="gramStart"/>
      <w:r w:rsidRPr="00B25975">
        <w:t>policy;</w:t>
      </w:r>
      <w:proofErr w:type="gramEnd"/>
    </w:p>
    <w:p w14:paraId="7C9C8433" w14:textId="77777777" w:rsidR="00B25975" w:rsidRDefault="00FE7D58" w:rsidP="00FE7D58">
      <w:pPr>
        <w:pStyle w:val="ListParagraph"/>
      </w:pPr>
      <w:r w:rsidRPr="00B25975">
        <w:t>the application of any recruitment, training and promotion policies will be made on the basis of fair</w:t>
      </w:r>
      <w:r w:rsidR="002A1BBB" w:rsidRPr="00B25975">
        <w:t xml:space="preserve"> </w:t>
      </w:r>
      <w:r w:rsidRPr="00B25975">
        <w:t>and objective criteria and based solely on job requirements and the individual's ability and fitness for</w:t>
      </w:r>
      <w:r w:rsidR="002A1BBB" w:rsidRPr="00B25975">
        <w:t xml:space="preserve"> </w:t>
      </w:r>
      <w:r w:rsidRPr="00B25975">
        <w:t xml:space="preserve">that </w:t>
      </w:r>
      <w:proofErr w:type="gramStart"/>
      <w:r w:rsidRPr="00B25975">
        <w:t>work;</w:t>
      </w:r>
      <w:proofErr w:type="gramEnd"/>
    </w:p>
    <w:p w14:paraId="115FF193" w14:textId="77777777" w:rsidR="00B25975" w:rsidRDefault="00FE7D58" w:rsidP="00FE7D58">
      <w:pPr>
        <w:pStyle w:val="ListParagraph"/>
      </w:pPr>
      <w:r w:rsidRPr="00B25975">
        <w:t>all persons responsible for the selection, management and promotion of employees will be given</w:t>
      </w:r>
      <w:r w:rsidR="002A1BBB" w:rsidRPr="00B25975">
        <w:t xml:space="preserve"> </w:t>
      </w:r>
      <w:r w:rsidRPr="00B25975">
        <w:t xml:space="preserve">information and/or training to enable them to minimise the risk of </w:t>
      </w:r>
      <w:proofErr w:type="gramStart"/>
      <w:r w:rsidRPr="00B25975">
        <w:t>discrimination;</w:t>
      </w:r>
      <w:proofErr w:type="gramEnd"/>
    </w:p>
    <w:p w14:paraId="4BEEF1E7" w14:textId="15138F7F" w:rsidR="00B25975" w:rsidRDefault="00FE7D58" w:rsidP="00FE7D58">
      <w:pPr>
        <w:pStyle w:val="ListParagraph"/>
      </w:pPr>
      <w:r w:rsidRPr="00B25975">
        <w:t xml:space="preserve">appropriate training will be provided to enable employees </w:t>
      </w:r>
      <w:r w:rsidR="00B25975">
        <w:t xml:space="preserve">(and where appropriate, volunteers) </w:t>
      </w:r>
      <w:r w:rsidRPr="00B25975">
        <w:t>to perform their jobs effectively and</w:t>
      </w:r>
      <w:r w:rsidR="002A1BBB" w:rsidRPr="00B25975">
        <w:t xml:space="preserve"> </w:t>
      </w:r>
      <w:r w:rsidRPr="00B25975">
        <w:t xml:space="preserve">uphold the commitment to equality of </w:t>
      </w:r>
      <w:proofErr w:type="gramStart"/>
      <w:r w:rsidRPr="00B25975">
        <w:t>opportunity;</w:t>
      </w:r>
      <w:proofErr w:type="gramEnd"/>
    </w:p>
    <w:p w14:paraId="7730DE73" w14:textId="05C73AFB" w:rsidR="00B25975" w:rsidRDefault="00FE7D58" w:rsidP="00C06C72">
      <w:pPr>
        <w:pStyle w:val="ListParagraph"/>
      </w:pPr>
      <w:r w:rsidRPr="00B25975">
        <w:t>encouragement is given to all employees</w:t>
      </w:r>
      <w:r w:rsidR="00B25975">
        <w:t xml:space="preserve"> (and where appropriate, volunteers) </w:t>
      </w:r>
      <w:r w:rsidRPr="00B25975">
        <w:t xml:space="preserve">to take advantage of opportunities for </w:t>
      </w:r>
      <w:proofErr w:type="gramStart"/>
      <w:r w:rsidRPr="00B25975">
        <w:t>training;</w:t>
      </w:r>
      <w:proofErr w:type="gramEnd"/>
    </w:p>
    <w:p w14:paraId="4166D523" w14:textId="77777777" w:rsidR="00B25975" w:rsidRDefault="00FE7D58" w:rsidP="00FE7D58">
      <w:pPr>
        <w:pStyle w:val="ListParagraph"/>
      </w:pPr>
      <w:r w:rsidRPr="00B25975">
        <w:t>any age limits imposed for entry to training will be objectively justified as a proportionate means of</w:t>
      </w:r>
      <w:r w:rsidR="002A1BBB" w:rsidRPr="00B25975">
        <w:t xml:space="preserve"> </w:t>
      </w:r>
      <w:r w:rsidRPr="00B25975">
        <w:t>achieving a legitimate aim and will not unnecessarily exclude certain groups of employees</w:t>
      </w:r>
      <w:r w:rsidR="00B25975">
        <w:t xml:space="preserve"> (or where appropriate, volunteers</w:t>
      </w:r>
      <w:proofErr w:type="gramStart"/>
      <w:r w:rsidR="00B25975">
        <w:t>)</w:t>
      </w:r>
      <w:r w:rsidRPr="00B25975">
        <w:t>;</w:t>
      </w:r>
      <w:proofErr w:type="gramEnd"/>
    </w:p>
    <w:p w14:paraId="7E896700" w14:textId="77777777" w:rsidR="00B25975" w:rsidRDefault="00FE7D58" w:rsidP="00FE7D58">
      <w:pPr>
        <w:pStyle w:val="ListParagraph"/>
      </w:pPr>
      <w:r w:rsidRPr="00B25975">
        <w:t>recruitment, literature and advertisements will not imply that there is a preference for one group of</w:t>
      </w:r>
      <w:r w:rsidR="002A1BBB" w:rsidRPr="00B25975">
        <w:t xml:space="preserve"> </w:t>
      </w:r>
      <w:r w:rsidRPr="00B25975">
        <w:t>applicants as against another unless there is an occupational requirement which will be clearly stated</w:t>
      </w:r>
      <w:r w:rsidR="002A1BBB" w:rsidRPr="00B25975">
        <w:t xml:space="preserve"> </w:t>
      </w:r>
      <w:r w:rsidRPr="00B25975">
        <w:t>and the application of that requirement is a proportionate means of achieving a legitimate aim;</w:t>
      </w:r>
    </w:p>
    <w:p w14:paraId="2928083C" w14:textId="77777777" w:rsidR="00B25975" w:rsidRDefault="00FE7D58" w:rsidP="00FE7D58">
      <w:pPr>
        <w:pStyle w:val="ListParagraph"/>
      </w:pPr>
      <w:r w:rsidRPr="00B25975">
        <w:t>the most effective ways will be employed to bring job vacancies to the attention of potentially</w:t>
      </w:r>
      <w:r w:rsidR="002A1BBB" w:rsidRPr="00B25975">
        <w:t xml:space="preserve"> </w:t>
      </w:r>
      <w:r w:rsidRPr="00B25975">
        <w:t xml:space="preserve">disadvantaged </w:t>
      </w:r>
      <w:proofErr w:type="gramStart"/>
      <w:r w:rsidRPr="00B25975">
        <w:t>groups;</w:t>
      </w:r>
      <w:proofErr w:type="gramEnd"/>
    </w:p>
    <w:p w14:paraId="36C5ACC4" w14:textId="77777777" w:rsidR="00B25975" w:rsidRDefault="00FE7D58" w:rsidP="00FE7D58">
      <w:pPr>
        <w:pStyle w:val="ListParagraph"/>
      </w:pPr>
      <w:r w:rsidRPr="00B25975">
        <w:lastRenderedPageBreak/>
        <w:t>applicants for posts will be given clear, accurate and sufficient information through advertisement,</w:t>
      </w:r>
      <w:r w:rsidR="002A1BBB" w:rsidRPr="00B25975">
        <w:t xml:space="preserve"> </w:t>
      </w:r>
      <w:r w:rsidRPr="00B25975">
        <w:t xml:space="preserve">job descriptions and interviews, to enable them to assess their own suitability for a </w:t>
      </w:r>
      <w:proofErr w:type="gramStart"/>
      <w:r w:rsidRPr="00B25975">
        <w:t>post;</w:t>
      </w:r>
      <w:proofErr w:type="gramEnd"/>
    </w:p>
    <w:p w14:paraId="6998C975" w14:textId="77777777" w:rsidR="00B25975" w:rsidRDefault="00FE7D58" w:rsidP="00FE7D58">
      <w:pPr>
        <w:pStyle w:val="ListParagraph"/>
      </w:pPr>
      <w:r w:rsidRPr="00B25975">
        <w:t>The requirements of job applicants and existing members of staff who have or have had a</w:t>
      </w:r>
      <w:r w:rsidR="002A1BBB" w:rsidRPr="00B25975">
        <w:t xml:space="preserve"> </w:t>
      </w:r>
      <w:r w:rsidRPr="00B25975">
        <w:t xml:space="preserve">disability will be reviewed to ensure that reasonable adjustments are made to enable them to </w:t>
      </w:r>
      <w:proofErr w:type="gramStart"/>
      <w:r w:rsidRPr="00B25975">
        <w:t>enter into</w:t>
      </w:r>
      <w:proofErr w:type="gramEnd"/>
      <w:r w:rsidR="002A1BBB" w:rsidRPr="00B25975">
        <w:t xml:space="preserve"> </w:t>
      </w:r>
      <w:r w:rsidRPr="00B25975">
        <w:t>or remain in employment with us. Promotion opportunities, benefits and facilities of employment will not</w:t>
      </w:r>
      <w:r w:rsidR="002A1BBB" w:rsidRPr="00B25975">
        <w:t xml:space="preserve"> </w:t>
      </w:r>
      <w:r w:rsidRPr="00B25975">
        <w:t xml:space="preserve">be unreasonably </w:t>
      </w:r>
      <w:proofErr w:type="gramStart"/>
      <w:r w:rsidRPr="00B25975">
        <w:t>limited</w:t>
      </w:r>
      <w:proofErr w:type="gramEnd"/>
      <w:r w:rsidRPr="00B25975">
        <w:t xml:space="preserve"> and every reasonable effort will be made to ensure that disabled staff</w:t>
      </w:r>
      <w:r w:rsidR="002A1BBB" w:rsidRPr="00B25975">
        <w:t xml:space="preserve"> </w:t>
      </w:r>
      <w:r w:rsidRPr="00B25975">
        <w:t>participate fully in the workplace</w:t>
      </w:r>
    </w:p>
    <w:p w14:paraId="5B21FB0D" w14:textId="77777777" w:rsidR="00B25975" w:rsidRDefault="00FE7D58" w:rsidP="00FE7D58">
      <w:pPr>
        <w:pStyle w:val="ListParagraph"/>
      </w:pPr>
      <w:r w:rsidRPr="00B25975">
        <w:t>employment policies and procedures are kept under review, in appropriate cases by formal</w:t>
      </w:r>
      <w:r w:rsidR="002A1BBB" w:rsidRPr="00B25975">
        <w:t xml:space="preserve"> </w:t>
      </w:r>
      <w:r w:rsidRPr="00B25975">
        <w:t xml:space="preserve">monitoring routines, to ensure that they do not operate against </w:t>
      </w:r>
      <w:r w:rsidR="00B25975">
        <w:t>this</w:t>
      </w:r>
      <w:r w:rsidRPr="00B25975">
        <w:t xml:space="preserve"> Policy </w:t>
      </w:r>
      <w:proofErr w:type="gramStart"/>
      <w:r w:rsidRPr="00B25975">
        <w:t>Statement;</w:t>
      </w:r>
      <w:proofErr w:type="gramEnd"/>
    </w:p>
    <w:p w14:paraId="4EC99110" w14:textId="77777777" w:rsidR="00B25975" w:rsidRDefault="00FE7D58" w:rsidP="00FE7D58">
      <w:pPr>
        <w:pStyle w:val="ListParagraph"/>
      </w:pPr>
      <w:r w:rsidRPr="00B25975">
        <w:t>where it appears that the church's Policy Statement is not being observed the circumstances will</w:t>
      </w:r>
      <w:r w:rsidR="002A1BBB" w:rsidRPr="00B25975">
        <w:t xml:space="preserve"> </w:t>
      </w:r>
      <w:r w:rsidRPr="00B25975">
        <w:t>be investigated to see if there are any policies or criteria which exclude or discourage employees and, if</w:t>
      </w:r>
      <w:r w:rsidR="002A1BBB" w:rsidRPr="00B25975">
        <w:t xml:space="preserve"> </w:t>
      </w:r>
      <w:r w:rsidRPr="00B25975">
        <w:t xml:space="preserve">so, whether these policies and criteria are </w:t>
      </w:r>
      <w:proofErr w:type="gramStart"/>
      <w:r w:rsidRPr="00B25975">
        <w:t>justifiable;</w:t>
      </w:r>
      <w:proofErr w:type="gramEnd"/>
    </w:p>
    <w:p w14:paraId="1C7BBDEA" w14:textId="77777777" w:rsidR="00B25975" w:rsidRDefault="00FE7D58" w:rsidP="00FE7D58">
      <w:pPr>
        <w:pStyle w:val="ListParagraph"/>
      </w:pPr>
      <w:r w:rsidRPr="00B25975">
        <w:t>appropriate action is taken where necessary to redress the effects of any action, policy or criteria</w:t>
      </w:r>
      <w:r w:rsidR="002A1BBB" w:rsidRPr="00B25975">
        <w:t xml:space="preserve"> </w:t>
      </w:r>
      <w:r w:rsidRPr="00B25975">
        <w:t xml:space="preserve">which are found to have unjustifiably limited the observance of </w:t>
      </w:r>
      <w:r w:rsidR="00B25975">
        <w:t>this</w:t>
      </w:r>
      <w:r w:rsidR="00B25975" w:rsidRPr="00B25975">
        <w:t xml:space="preserve"> Policy </w:t>
      </w:r>
      <w:proofErr w:type="gramStart"/>
      <w:r w:rsidR="00B25975" w:rsidRPr="00B25975">
        <w:t>Statement</w:t>
      </w:r>
      <w:r w:rsidRPr="00B25975">
        <w:t>;</w:t>
      </w:r>
      <w:proofErr w:type="gramEnd"/>
    </w:p>
    <w:p w14:paraId="1FB68B1F" w14:textId="77777777" w:rsidR="00B25975" w:rsidRDefault="00FE7D58" w:rsidP="00FE7D58">
      <w:pPr>
        <w:pStyle w:val="ListParagraph"/>
      </w:pPr>
      <w:r w:rsidRPr="00B25975">
        <w:t>particular care is taken to deal with any complaints of unlawful discrimination and harassment on</w:t>
      </w:r>
      <w:r w:rsidR="002A1BBB" w:rsidRPr="00B25975">
        <w:t xml:space="preserve"> </w:t>
      </w:r>
      <w:r w:rsidRPr="00B25975">
        <w:t xml:space="preserve">the grounds of a Protected </w:t>
      </w:r>
      <w:proofErr w:type="gramStart"/>
      <w:r w:rsidRPr="00B25975">
        <w:t>Characteristic;</w:t>
      </w:r>
      <w:proofErr w:type="gramEnd"/>
    </w:p>
    <w:p w14:paraId="2D26E5F8" w14:textId="77777777" w:rsidR="00B25975" w:rsidRDefault="00FE7D58" w:rsidP="00FE7D58">
      <w:pPr>
        <w:pStyle w:val="ListParagraph"/>
      </w:pPr>
      <w:r w:rsidRPr="00B25975">
        <w:t>a criminal record is not in itself a bar to being appointed to any post. Only relevant offences will be</w:t>
      </w:r>
      <w:r w:rsidR="002A1BBB" w:rsidRPr="00B25975">
        <w:t xml:space="preserve"> </w:t>
      </w:r>
      <w:proofErr w:type="gramStart"/>
      <w:r w:rsidRPr="00B25975">
        <w:t>taken into account</w:t>
      </w:r>
      <w:proofErr w:type="gramEnd"/>
      <w:r w:rsidRPr="00B25975">
        <w:t xml:space="preserve"> when appointing to a post where a Disclosure and Barring Service check is required.</w:t>
      </w:r>
      <w:r w:rsidR="00B25975">
        <w:t xml:space="preserve"> See the Lightwave Recruitment Policy for more details. </w:t>
      </w:r>
    </w:p>
    <w:p w14:paraId="255EB33A" w14:textId="63A0DC0E" w:rsidR="00903F60" w:rsidRPr="00B25975" w:rsidRDefault="00FE7D58" w:rsidP="00FE7D58">
      <w:pPr>
        <w:pStyle w:val="ListParagraph"/>
      </w:pPr>
      <w:r w:rsidRPr="00B25975">
        <w:t>the requirements of job applicants and existing members of staff who have or have had a disability</w:t>
      </w:r>
      <w:r w:rsidR="002A1BBB" w:rsidRPr="00B25975">
        <w:t xml:space="preserve"> </w:t>
      </w:r>
      <w:r w:rsidRPr="00B25975">
        <w:t xml:space="preserve">will be reviewed to ensure that reasonable adjustments are made to enable them to </w:t>
      </w:r>
      <w:proofErr w:type="gramStart"/>
      <w:r w:rsidRPr="00B25975">
        <w:t>enter into</w:t>
      </w:r>
      <w:proofErr w:type="gramEnd"/>
      <w:r w:rsidRPr="00B25975">
        <w:t xml:space="preserve"> or</w:t>
      </w:r>
      <w:r w:rsidR="002A1BBB" w:rsidRPr="00B25975">
        <w:t xml:space="preserve"> </w:t>
      </w:r>
      <w:r w:rsidRPr="00B25975">
        <w:t>remain in employment with us. Promotion opportunities, benefits and facilities of employment will not be</w:t>
      </w:r>
      <w:r w:rsidR="002A1BBB" w:rsidRPr="00B25975">
        <w:t xml:space="preserve"> </w:t>
      </w:r>
      <w:r w:rsidRPr="00B25975">
        <w:t xml:space="preserve">unreasonably </w:t>
      </w:r>
      <w:proofErr w:type="gramStart"/>
      <w:r w:rsidRPr="00B25975">
        <w:t>limited</w:t>
      </w:r>
      <w:proofErr w:type="gramEnd"/>
      <w:r w:rsidRPr="00B25975">
        <w:t xml:space="preserve"> and every reasonable effort will be made to ensure that disabled staff participate</w:t>
      </w:r>
      <w:r w:rsidR="002A1BBB" w:rsidRPr="00B25975">
        <w:t xml:space="preserve"> </w:t>
      </w:r>
      <w:r w:rsidRPr="00B25975">
        <w:t>fully in the workplace.</w:t>
      </w:r>
    </w:p>
    <w:p w14:paraId="3D0E7CDB" w14:textId="32D3E0AB" w:rsidR="00903F60" w:rsidRPr="00FE7D58" w:rsidRDefault="00903F60" w:rsidP="00B25975">
      <w:pPr>
        <w:pStyle w:val="Heading1"/>
        <w:rPr>
          <w:rFonts w:eastAsia="Arial"/>
          <w:color w:val="000000"/>
        </w:rPr>
      </w:pPr>
      <w:r w:rsidRPr="00FE7D58">
        <w:t>Bullying and Harassment</w:t>
      </w:r>
    </w:p>
    <w:p w14:paraId="6FD8ADA8" w14:textId="12D2F300" w:rsidR="00903F60" w:rsidRPr="00B25975" w:rsidRDefault="00903F60" w:rsidP="00B25975">
      <w:pPr>
        <w:spacing w:beforeLines="60" w:before="144" w:afterLines="60" w:after="144"/>
        <w:rPr>
          <w:rFonts w:ascii="Tahoma" w:hAnsi="Tahoma" w:cs="Tahoma"/>
          <w:sz w:val="20"/>
          <w:szCs w:val="20"/>
        </w:rPr>
      </w:pPr>
      <w:r w:rsidRPr="00B25975">
        <w:rPr>
          <w:rFonts w:ascii="Tahoma" w:hAnsi="Tahoma" w:cs="Tahoma"/>
          <w:sz w:val="20"/>
          <w:szCs w:val="20"/>
        </w:rPr>
        <w:t xml:space="preserve">Bullying and Harassment can take many forms including physical, </w:t>
      </w:r>
      <w:proofErr w:type="gramStart"/>
      <w:r w:rsidRPr="00B25975">
        <w:rPr>
          <w:rFonts w:ascii="Tahoma" w:hAnsi="Tahoma" w:cs="Tahoma"/>
          <w:sz w:val="20"/>
          <w:szCs w:val="20"/>
        </w:rPr>
        <w:t>verbal</w:t>
      </w:r>
      <w:proofErr w:type="gramEnd"/>
      <w:r w:rsidRPr="00B25975">
        <w:rPr>
          <w:rFonts w:ascii="Tahoma" w:hAnsi="Tahoma" w:cs="Tahoma"/>
          <w:sz w:val="20"/>
          <w:szCs w:val="20"/>
        </w:rPr>
        <w:t xml:space="preserve"> and non-verbal. </w:t>
      </w:r>
    </w:p>
    <w:p w14:paraId="668AE689" w14:textId="77777777" w:rsidR="00903F60" w:rsidRPr="00B25975" w:rsidRDefault="00903F60" w:rsidP="00B25975">
      <w:pPr>
        <w:spacing w:beforeLines="60" w:before="144" w:afterLines="60" w:after="144"/>
        <w:rPr>
          <w:rFonts w:ascii="Tahoma" w:hAnsi="Tahoma" w:cs="Tahoma"/>
          <w:sz w:val="20"/>
          <w:szCs w:val="20"/>
        </w:rPr>
      </w:pPr>
      <w:r w:rsidRPr="00B25975">
        <w:rPr>
          <w:rFonts w:ascii="Tahoma" w:hAnsi="Tahoma" w:cs="Tahoma"/>
          <w:sz w:val="20"/>
          <w:szCs w:val="20"/>
        </w:rPr>
        <w:t xml:space="preserve">Examples of behaviour which may constitute harassment or bullying, include but are not limited to: </w:t>
      </w:r>
    </w:p>
    <w:p w14:paraId="79BB142C" w14:textId="77777777" w:rsidR="00903F60" w:rsidRPr="00B25975" w:rsidRDefault="00903F60" w:rsidP="00C928B6">
      <w:pPr>
        <w:pStyle w:val="ListParagraph"/>
        <w:contextualSpacing/>
      </w:pPr>
      <w:r w:rsidRPr="00FE7D58">
        <w:t xml:space="preserve">spreading malicious rumours </w:t>
      </w:r>
    </w:p>
    <w:p w14:paraId="1901C63C" w14:textId="77777777" w:rsidR="00903F60" w:rsidRPr="00FE7D58" w:rsidRDefault="00903F60" w:rsidP="00C928B6">
      <w:pPr>
        <w:pStyle w:val="ListParagraph"/>
        <w:contextualSpacing/>
      </w:pPr>
      <w:r w:rsidRPr="00FE7D58">
        <w:t xml:space="preserve">professional or social exclusion </w:t>
      </w:r>
    </w:p>
    <w:p w14:paraId="741EB526" w14:textId="77777777" w:rsidR="00903F60" w:rsidRPr="00FE7D58" w:rsidRDefault="00903F60" w:rsidP="00C928B6">
      <w:pPr>
        <w:pStyle w:val="ListParagraph"/>
        <w:contextualSpacing/>
      </w:pPr>
      <w:r w:rsidRPr="00FE7D58">
        <w:t xml:space="preserve">insulting behaviour </w:t>
      </w:r>
    </w:p>
    <w:p w14:paraId="59186C56" w14:textId="77777777" w:rsidR="00903F60" w:rsidRPr="00FE7D58" w:rsidRDefault="00903F60" w:rsidP="00C928B6">
      <w:pPr>
        <w:pStyle w:val="ListParagraph"/>
        <w:contextualSpacing/>
      </w:pPr>
      <w:r w:rsidRPr="00FE7D58">
        <w:t xml:space="preserve">unwelcome sexual advances or physical contact </w:t>
      </w:r>
    </w:p>
    <w:p w14:paraId="19011110" w14:textId="77777777" w:rsidR="00903F60" w:rsidRPr="00FE7D58" w:rsidRDefault="00903F60" w:rsidP="00C928B6">
      <w:pPr>
        <w:pStyle w:val="ListParagraph"/>
        <w:contextualSpacing/>
      </w:pPr>
      <w:r w:rsidRPr="00FE7D58">
        <w:t xml:space="preserve">unfounded threats relating to job security </w:t>
      </w:r>
    </w:p>
    <w:p w14:paraId="58F842EA" w14:textId="77777777" w:rsidR="00903F60" w:rsidRPr="00FE7D58" w:rsidRDefault="00903F60" w:rsidP="00C928B6">
      <w:pPr>
        <w:pStyle w:val="ListParagraph"/>
        <w:contextualSpacing/>
      </w:pPr>
      <w:r w:rsidRPr="00FE7D58">
        <w:t xml:space="preserve">calculated undermining of an employee’s or volunteer’s competence, for example </w:t>
      </w:r>
    </w:p>
    <w:p w14:paraId="472BFC60" w14:textId="77777777" w:rsidR="00903F60" w:rsidRPr="00FE7D58" w:rsidRDefault="00903F60" w:rsidP="00C928B6">
      <w:pPr>
        <w:pStyle w:val="ListParagraph"/>
        <w:contextualSpacing/>
      </w:pPr>
      <w:r w:rsidRPr="00FE7D58">
        <w:t xml:space="preserve">through a consistently unreasonable or unfair workload, overbearing </w:t>
      </w:r>
      <w:proofErr w:type="gramStart"/>
      <w:r w:rsidRPr="00FE7D58">
        <w:t>supervision</w:t>
      </w:r>
      <w:proofErr w:type="gramEnd"/>
      <w:r w:rsidRPr="00FE7D58">
        <w:t xml:space="preserve"> or unnecessary circulation of critical memoranda </w:t>
      </w:r>
    </w:p>
    <w:p w14:paraId="7D7DC1E4" w14:textId="77777777" w:rsidR="00903F60" w:rsidRPr="00FE7D58" w:rsidRDefault="00903F60" w:rsidP="00C928B6">
      <w:pPr>
        <w:pStyle w:val="ListParagraph"/>
        <w:contextualSpacing/>
      </w:pPr>
      <w:r w:rsidRPr="00FE7D58">
        <w:t xml:space="preserve">physical assault, verbal abuse, threats, derogatory name-calling, ridicule, insults and offensive or embarrassing jokes </w:t>
      </w:r>
    </w:p>
    <w:p w14:paraId="5C8451EB" w14:textId="77777777" w:rsidR="00903F60" w:rsidRPr="00FE7D58" w:rsidRDefault="00903F60" w:rsidP="00C928B6">
      <w:pPr>
        <w:pStyle w:val="ListParagraph"/>
        <w:contextualSpacing/>
      </w:pPr>
      <w:r w:rsidRPr="00FE7D58">
        <w:t xml:space="preserve">offensive and/or defamatory emails, </w:t>
      </w:r>
      <w:proofErr w:type="gramStart"/>
      <w:r w:rsidRPr="00FE7D58">
        <w:t>texts</w:t>
      </w:r>
      <w:proofErr w:type="gramEnd"/>
      <w:r w:rsidRPr="00FE7D58">
        <w:t xml:space="preserve"> or visual images </w:t>
      </w:r>
    </w:p>
    <w:p w14:paraId="5B479B95" w14:textId="77777777" w:rsidR="00903F60" w:rsidRPr="00FE7D58" w:rsidRDefault="00903F60" w:rsidP="00C928B6">
      <w:pPr>
        <w:pStyle w:val="ListParagraph"/>
        <w:contextualSpacing/>
      </w:pPr>
      <w:r w:rsidRPr="00FE7D58">
        <w:t xml:space="preserve">derogatory graffiti/insignia or display of derogatory or offensive material </w:t>
      </w:r>
    </w:p>
    <w:p w14:paraId="65287C97" w14:textId="7570D22C" w:rsidR="00903F60" w:rsidRPr="00FE7D58" w:rsidRDefault="00903F60" w:rsidP="00C928B6">
      <w:pPr>
        <w:pStyle w:val="ListParagraph"/>
        <w:contextualSpacing/>
      </w:pPr>
      <w:r w:rsidRPr="00FE7D58">
        <w:t>inciting others to commit any of the above</w:t>
      </w:r>
      <w:r w:rsidR="00B25975">
        <w:t>.</w:t>
      </w:r>
    </w:p>
    <w:p w14:paraId="5D40A869" w14:textId="77777777" w:rsidR="00903F60" w:rsidRPr="00C928B6" w:rsidRDefault="00903F60" w:rsidP="00C928B6">
      <w:pPr>
        <w:pStyle w:val="Heading2"/>
      </w:pPr>
      <w:r w:rsidRPr="00C928B6">
        <w:t>Bullying</w:t>
      </w:r>
    </w:p>
    <w:p w14:paraId="763DEEFA" w14:textId="284AED21" w:rsidR="00903F60" w:rsidRPr="00C928B6" w:rsidRDefault="00903F60" w:rsidP="00C928B6">
      <w:pPr>
        <w:rPr>
          <w:rFonts w:ascii="Tahoma" w:hAnsi="Tahoma" w:cs="Tahoma"/>
          <w:sz w:val="20"/>
          <w:szCs w:val="16"/>
        </w:rPr>
      </w:pPr>
      <w:r w:rsidRPr="00C928B6">
        <w:rPr>
          <w:rFonts w:ascii="Tahoma" w:hAnsi="Tahoma" w:cs="Tahoma"/>
          <w:sz w:val="20"/>
          <w:szCs w:val="16"/>
        </w:rPr>
        <w:t xml:space="preserve">Bullying can be defined as persistent, offensive, abusive, intimidating, malicious or insulting behaviour, abuse of power or unfair penal sanctions, which makes the recipient feel upset, threatened, humiliated or vulnerable, which undermines their self-confidence and which may cause them to suffer stress. </w:t>
      </w:r>
    </w:p>
    <w:p w14:paraId="4105F14B" w14:textId="77777777" w:rsidR="00903F60" w:rsidRPr="00C928B6" w:rsidRDefault="00903F60" w:rsidP="00C928B6">
      <w:pPr>
        <w:rPr>
          <w:rFonts w:ascii="Tahoma" w:hAnsi="Tahoma" w:cs="Tahoma"/>
          <w:sz w:val="20"/>
          <w:szCs w:val="16"/>
        </w:rPr>
      </w:pPr>
    </w:p>
    <w:p w14:paraId="1C06A97C" w14:textId="0F9C005D" w:rsidR="00903F60" w:rsidRPr="00C928B6" w:rsidRDefault="00903F60" w:rsidP="00C928B6">
      <w:pPr>
        <w:rPr>
          <w:rFonts w:ascii="Tahoma" w:hAnsi="Tahoma" w:cs="Tahoma"/>
          <w:sz w:val="20"/>
          <w:szCs w:val="16"/>
        </w:rPr>
      </w:pPr>
      <w:r w:rsidRPr="00C928B6">
        <w:rPr>
          <w:rFonts w:ascii="Tahoma" w:hAnsi="Tahoma" w:cs="Tahoma"/>
          <w:sz w:val="20"/>
          <w:szCs w:val="16"/>
        </w:rPr>
        <w:t xml:space="preserve">Bullying can range from benign directive comments to a severe intimidatory management style. Bullying can take many forms including physical, </w:t>
      </w:r>
      <w:proofErr w:type="gramStart"/>
      <w:r w:rsidRPr="00C928B6">
        <w:rPr>
          <w:rFonts w:ascii="Tahoma" w:hAnsi="Tahoma" w:cs="Tahoma"/>
          <w:sz w:val="20"/>
          <w:szCs w:val="16"/>
        </w:rPr>
        <w:t>verbal</w:t>
      </w:r>
      <w:proofErr w:type="gramEnd"/>
      <w:r w:rsidRPr="00C928B6">
        <w:rPr>
          <w:rFonts w:ascii="Tahoma" w:hAnsi="Tahoma" w:cs="Tahoma"/>
          <w:sz w:val="20"/>
          <w:szCs w:val="16"/>
        </w:rPr>
        <w:t xml:space="preserve"> and non-verbal. </w:t>
      </w:r>
    </w:p>
    <w:p w14:paraId="46A0A85A" w14:textId="77777777" w:rsidR="00903F60" w:rsidRPr="00C928B6" w:rsidRDefault="00903F60" w:rsidP="00C928B6">
      <w:pPr>
        <w:rPr>
          <w:rFonts w:ascii="Tahoma" w:hAnsi="Tahoma" w:cs="Tahoma"/>
          <w:sz w:val="20"/>
          <w:szCs w:val="16"/>
        </w:rPr>
      </w:pPr>
    </w:p>
    <w:p w14:paraId="1C676847" w14:textId="77777777" w:rsidR="00903F60" w:rsidRPr="00C928B6" w:rsidRDefault="00903F60" w:rsidP="00C928B6">
      <w:pPr>
        <w:pStyle w:val="Heading2"/>
      </w:pPr>
      <w:r w:rsidRPr="00C928B6">
        <w:lastRenderedPageBreak/>
        <w:t xml:space="preserve">Harassment </w:t>
      </w:r>
    </w:p>
    <w:p w14:paraId="46182EA1" w14:textId="009B23B4" w:rsidR="00903F60" w:rsidRPr="00C928B6" w:rsidRDefault="00903F60" w:rsidP="00A6785A">
      <w:pPr>
        <w:spacing w:before="60" w:after="60"/>
        <w:rPr>
          <w:rFonts w:ascii="Tahoma" w:hAnsi="Tahoma" w:cs="Tahoma"/>
          <w:sz w:val="20"/>
          <w:szCs w:val="16"/>
        </w:rPr>
      </w:pPr>
      <w:r w:rsidRPr="00C928B6">
        <w:rPr>
          <w:rFonts w:ascii="Tahoma" w:hAnsi="Tahoma" w:cs="Tahoma"/>
          <w:sz w:val="20"/>
          <w:szCs w:val="16"/>
        </w:rPr>
        <w:t xml:space="preserve">Harassment may be defined as behaviour which is unsolicited, personally offensive and that fails to respect the rights of others in the workplace.  Harassment may be directed at one person or many people. It often takes place when there are no witnesses, but not always. It can be persistent behaviour over </w:t>
      </w:r>
      <w:proofErr w:type="gramStart"/>
      <w:r w:rsidRPr="00C928B6">
        <w:rPr>
          <w:rFonts w:ascii="Tahoma" w:hAnsi="Tahoma" w:cs="Tahoma"/>
          <w:sz w:val="20"/>
          <w:szCs w:val="16"/>
        </w:rPr>
        <w:t>a period of time</w:t>
      </w:r>
      <w:proofErr w:type="gramEnd"/>
      <w:r w:rsidRPr="00C928B6">
        <w:rPr>
          <w:rFonts w:ascii="Tahoma" w:hAnsi="Tahoma" w:cs="Tahoma"/>
          <w:sz w:val="20"/>
          <w:szCs w:val="16"/>
        </w:rPr>
        <w:t xml:space="preserve"> but could also be a one</w:t>
      </w:r>
      <w:r w:rsidR="00A6785A">
        <w:rPr>
          <w:rFonts w:ascii="Tahoma" w:hAnsi="Tahoma" w:cs="Tahoma"/>
          <w:sz w:val="20"/>
          <w:szCs w:val="16"/>
        </w:rPr>
        <w:t>-</w:t>
      </w:r>
      <w:r w:rsidRPr="00C928B6">
        <w:rPr>
          <w:rFonts w:ascii="Tahoma" w:hAnsi="Tahoma" w:cs="Tahoma"/>
          <w:sz w:val="20"/>
          <w:szCs w:val="16"/>
        </w:rPr>
        <w:t>off act.  It is not the intention of the perpetrator that is key in the deciding if harassment has occurred, but whether the behaviour is unacceptable by reasonable normal standards and is disadvantageous or unwelcome to the person or people subjected to it or witnessing it.</w:t>
      </w:r>
    </w:p>
    <w:p w14:paraId="29B8D6A3" w14:textId="69810F9E" w:rsidR="00903F60" w:rsidRPr="00C928B6" w:rsidRDefault="00903F60" w:rsidP="00A6785A">
      <w:pPr>
        <w:spacing w:before="60" w:after="60"/>
        <w:rPr>
          <w:rFonts w:ascii="Tahoma" w:hAnsi="Tahoma" w:cs="Tahoma"/>
          <w:sz w:val="20"/>
          <w:szCs w:val="16"/>
        </w:rPr>
      </w:pPr>
      <w:r w:rsidRPr="00C928B6">
        <w:rPr>
          <w:rFonts w:ascii="Tahoma" w:hAnsi="Tahoma" w:cs="Tahoma"/>
          <w:sz w:val="20"/>
          <w:szCs w:val="16"/>
        </w:rPr>
        <w:t xml:space="preserve">It is not possible to define ‘unacceptable behaviour’ as it is the effect the behaviour has on the recipient that makes it ‘unacceptable’. </w:t>
      </w:r>
    </w:p>
    <w:p w14:paraId="680D05A5" w14:textId="49B5C984" w:rsidR="00903F60" w:rsidRDefault="00903F60" w:rsidP="00A6785A">
      <w:pPr>
        <w:spacing w:before="60" w:after="60"/>
        <w:rPr>
          <w:rFonts w:ascii="Tahoma" w:hAnsi="Tahoma" w:cs="Tahoma"/>
          <w:sz w:val="20"/>
          <w:szCs w:val="16"/>
        </w:rPr>
      </w:pPr>
      <w:r w:rsidRPr="00C928B6">
        <w:rPr>
          <w:rFonts w:ascii="Tahoma" w:hAnsi="Tahoma" w:cs="Tahoma"/>
          <w:sz w:val="20"/>
          <w:szCs w:val="16"/>
        </w:rPr>
        <w:t xml:space="preserve">Harassment can fall under many areas including but not limited to racial, sexual, disability, age, sexual orientation, marital </w:t>
      </w:r>
      <w:proofErr w:type="gramStart"/>
      <w:r w:rsidRPr="00C928B6">
        <w:rPr>
          <w:rFonts w:ascii="Tahoma" w:hAnsi="Tahoma" w:cs="Tahoma"/>
          <w:sz w:val="20"/>
          <w:szCs w:val="16"/>
        </w:rPr>
        <w:t>status</w:t>
      </w:r>
      <w:proofErr w:type="gramEnd"/>
      <w:r w:rsidRPr="00C928B6">
        <w:rPr>
          <w:rFonts w:ascii="Tahoma" w:hAnsi="Tahoma" w:cs="Tahoma"/>
          <w:sz w:val="20"/>
          <w:szCs w:val="16"/>
        </w:rPr>
        <w:t xml:space="preserve"> and religious beliefs.</w:t>
      </w:r>
    </w:p>
    <w:p w14:paraId="5E00B0D5" w14:textId="77777777" w:rsidR="00A6785A" w:rsidRPr="00C928B6" w:rsidRDefault="00A6785A" w:rsidP="00A6785A">
      <w:pPr>
        <w:spacing w:before="60" w:after="60"/>
        <w:rPr>
          <w:rFonts w:ascii="Tahoma" w:hAnsi="Tahoma" w:cs="Tahoma"/>
          <w:sz w:val="20"/>
          <w:szCs w:val="16"/>
        </w:rPr>
      </w:pPr>
    </w:p>
    <w:p w14:paraId="569E824D" w14:textId="77777777" w:rsidR="00903F60" w:rsidRPr="00C928B6" w:rsidRDefault="00903F60" w:rsidP="00983A4C">
      <w:pPr>
        <w:pStyle w:val="Heading2"/>
      </w:pPr>
      <w:r w:rsidRPr="00C928B6">
        <w:t>Procedures for dealing with Bullying and Harassment</w:t>
      </w:r>
    </w:p>
    <w:p w14:paraId="19F9AB60" w14:textId="77777777" w:rsidR="00903F60" w:rsidRPr="00983A4C" w:rsidRDefault="00903F60" w:rsidP="00C928B6">
      <w:pPr>
        <w:rPr>
          <w:rFonts w:ascii="Tahoma" w:hAnsi="Tahoma" w:cs="Tahoma"/>
          <w:b/>
          <w:bCs/>
          <w:sz w:val="20"/>
          <w:szCs w:val="16"/>
        </w:rPr>
      </w:pPr>
      <w:r w:rsidRPr="00983A4C">
        <w:rPr>
          <w:rFonts w:ascii="Tahoma" w:hAnsi="Tahoma" w:cs="Tahoma"/>
          <w:b/>
          <w:bCs/>
          <w:sz w:val="20"/>
          <w:szCs w:val="16"/>
        </w:rPr>
        <w:t>Informal Procedure</w:t>
      </w:r>
    </w:p>
    <w:p w14:paraId="1A304ED4" w14:textId="0F5BF36A" w:rsidR="00903F60" w:rsidRDefault="00903F60" w:rsidP="00A6785A">
      <w:pPr>
        <w:spacing w:before="60" w:after="60"/>
        <w:rPr>
          <w:rFonts w:ascii="Tahoma" w:hAnsi="Tahoma" w:cs="Tahoma"/>
          <w:sz w:val="20"/>
          <w:szCs w:val="16"/>
        </w:rPr>
      </w:pPr>
      <w:r w:rsidRPr="00C928B6">
        <w:rPr>
          <w:rFonts w:ascii="Tahoma" w:hAnsi="Tahoma" w:cs="Tahoma"/>
          <w:sz w:val="20"/>
          <w:szCs w:val="16"/>
        </w:rPr>
        <w:t>If the member of staff or volunteer feels able, they should speak up at the time when they feel harassed or bullied.  It is important to be direct and to state explicitly why they feel they are being harassed and that the behaviour is unacceptable to them and request that it stops immediately.  The member of staff or volunteer is also encouraged to discuss the matter with their line manager and ask them to speak to the harasser on their behalf.</w:t>
      </w:r>
    </w:p>
    <w:p w14:paraId="749124AC" w14:textId="77777777" w:rsidR="00A6785A" w:rsidRDefault="00903F60" w:rsidP="00A6785A">
      <w:pPr>
        <w:spacing w:before="60" w:after="60"/>
        <w:rPr>
          <w:rFonts w:ascii="Tahoma" w:hAnsi="Tahoma" w:cs="Tahoma"/>
          <w:sz w:val="20"/>
          <w:szCs w:val="16"/>
        </w:rPr>
      </w:pPr>
      <w:r w:rsidRPr="00C928B6">
        <w:rPr>
          <w:rFonts w:ascii="Tahoma" w:hAnsi="Tahoma" w:cs="Tahoma"/>
          <w:sz w:val="20"/>
          <w:szCs w:val="16"/>
        </w:rPr>
        <w:t xml:space="preserve">It is also advisable that the member of staff or volunteer keep an ‘incident diary’ of any offending behaviour and make notes about any relevant incidents which distress them and ensure that a copy is kept for any possible future formal complaint. </w:t>
      </w:r>
    </w:p>
    <w:p w14:paraId="02BC855E" w14:textId="73829B6A" w:rsidR="00903F60" w:rsidRDefault="00903F60" w:rsidP="00A6785A">
      <w:pPr>
        <w:spacing w:before="60" w:after="60"/>
        <w:rPr>
          <w:rFonts w:ascii="Tahoma" w:hAnsi="Tahoma" w:cs="Tahoma"/>
          <w:sz w:val="20"/>
          <w:szCs w:val="16"/>
        </w:rPr>
      </w:pPr>
      <w:r w:rsidRPr="00C928B6">
        <w:rPr>
          <w:rFonts w:ascii="Tahoma" w:hAnsi="Tahoma" w:cs="Tahoma"/>
          <w:sz w:val="20"/>
          <w:szCs w:val="16"/>
        </w:rPr>
        <w:t>If the member of staff or volunteer feels unable to approach the person concerned, it does not constitute consent to the bullying or harassment.</w:t>
      </w:r>
    </w:p>
    <w:p w14:paraId="15551B4D" w14:textId="37E89482" w:rsidR="00903F60" w:rsidRDefault="00903F60" w:rsidP="00A6785A">
      <w:pPr>
        <w:spacing w:before="60" w:after="60"/>
        <w:rPr>
          <w:rFonts w:ascii="Tahoma" w:hAnsi="Tahoma" w:cs="Tahoma"/>
          <w:sz w:val="20"/>
          <w:szCs w:val="16"/>
        </w:rPr>
      </w:pPr>
      <w:r w:rsidRPr="00C928B6">
        <w:rPr>
          <w:rFonts w:ascii="Tahoma" w:hAnsi="Tahoma" w:cs="Tahoma"/>
          <w:sz w:val="20"/>
          <w:szCs w:val="16"/>
        </w:rPr>
        <w:t>Where the informal procedure has not resolved the complaint, a formal grievance can be raised.</w:t>
      </w:r>
    </w:p>
    <w:p w14:paraId="7095FDF0" w14:textId="77777777" w:rsidR="00A6785A" w:rsidRPr="00C928B6" w:rsidRDefault="00A6785A" w:rsidP="00A6785A">
      <w:pPr>
        <w:spacing w:before="60" w:after="60"/>
        <w:rPr>
          <w:rFonts w:ascii="Tahoma" w:hAnsi="Tahoma" w:cs="Tahoma"/>
          <w:sz w:val="20"/>
          <w:szCs w:val="16"/>
        </w:rPr>
      </w:pPr>
    </w:p>
    <w:p w14:paraId="7D051CA2" w14:textId="77777777" w:rsidR="00903F60" w:rsidRPr="00983A4C" w:rsidRDefault="00903F60" w:rsidP="00A6785A">
      <w:pPr>
        <w:spacing w:before="60" w:after="60"/>
        <w:rPr>
          <w:rFonts w:ascii="Tahoma" w:hAnsi="Tahoma" w:cs="Tahoma"/>
          <w:b/>
          <w:bCs/>
          <w:sz w:val="20"/>
          <w:szCs w:val="16"/>
        </w:rPr>
      </w:pPr>
      <w:r w:rsidRPr="00983A4C">
        <w:rPr>
          <w:rFonts w:ascii="Tahoma" w:hAnsi="Tahoma" w:cs="Tahoma"/>
          <w:b/>
          <w:bCs/>
          <w:sz w:val="20"/>
          <w:szCs w:val="16"/>
        </w:rPr>
        <w:t xml:space="preserve">Formal Procedure </w:t>
      </w:r>
    </w:p>
    <w:p w14:paraId="48286485" w14:textId="4CB95912" w:rsidR="00903F60" w:rsidRDefault="00903F60" w:rsidP="00A6785A">
      <w:pPr>
        <w:spacing w:before="60" w:after="60"/>
        <w:rPr>
          <w:rFonts w:ascii="Tahoma" w:hAnsi="Tahoma" w:cs="Tahoma"/>
          <w:sz w:val="20"/>
          <w:szCs w:val="16"/>
        </w:rPr>
      </w:pPr>
      <w:r w:rsidRPr="00C928B6">
        <w:rPr>
          <w:rFonts w:ascii="Tahoma" w:hAnsi="Tahoma" w:cs="Tahoma"/>
          <w:sz w:val="20"/>
          <w:szCs w:val="16"/>
        </w:rPr>
        <w:t xml:space="preserve">If a formal complaint is made by a member of staff or volunteer, this will be dealt with under the </w:t>
      </w:r>
      <w:r w:rsidR="00A06AFD">
        <w:rPr>
          <w:rFonts w:ascii="Tahoma" w:hAnsi="Tahoma" w:cs="Tahoma"/>
          <w:sz w:val="20"/>
          <w:szCs w:val="16"/>
        </w:rPr>
        <w:t xml:space="preserve">Lightwave </w:t>
      </w:r>
      <w:r w:rsidRPr="00C928B6">
        <w:rPr>
          <w:rFonts w:ascii="Tahoma" w:hAnsi="Tahoma" w:cs="Tahoma"/>
          <w:sz w:val="20"/>
          <w:szCs w:val="16"/>
        </w:rPr>
        <w:t xml:space="preserve">Grievance procedure. </w:t>
      </w:r>
    </w:p>
    <w:p w14:paraId="50A50AEC" w14:textId="686AB25F" w:rsidR="00903F60" w:rsidRPr="00C928B6" w:rsidRDefault="00903F60" w:rsidP="00A6785A">
      <w:pPr>
        <w:spacing w:before="60" w:after="60"/>
        <w:rPr>
          <w:rFonts w:ascii="Tahoma" w:hAnsi="Tahoma" w:cs="Tahoma"/>
          <w:sz w:val="20"/>
          <w:szCs w:val="16"/>
        </w:rPr>
      </w:pPr>
      <w:r w:rsidRPr="00C928B6">
        <w:rPr>
          <w:rFonts w:ascii="Tahoma" w:hAnsi="Tahoma" w:cs="Tahoma"/>
          <w:sz w:val="20"/>
          <w:szCs w:val="16"/>
        </w:rPr>
        <w:t xml:space="preserve">If the complaint is received from an external source this should be dealt with in accordance with the </w:t>
      </w:r>
      <w:r w:rsidR="00A06AFD">
        <w:rPr>
          <w:rFonts w:ascii="Tahoma" w:hAnsi="Tahoma" w:cs="Tahoma"/>
          <w:sz w:val="20"/>
          <w:szCs w:val="16"/>
        </w:rPr>
        <w:t xml:space="preserve">Lightwave </w:t>
      </w:r>
      <w:r w:rsidRPr="00C928B6">
        <w:rPr>
          <w:rFonts w:ascii="Tahoma" w:hAnsi="Tahoma" w:cs="Tahoma"/>
          <w:sz w:val="20"/>
          <w:szCs w:val="16"/>
        </w:rPr>
        <w:t>Complaints Procedure.</w:t>
      </w:r>
    </w:p>
    <w:p w14:paraId="66A0D9F2" w14:textId="77777777" w:rsidR="00903F60" w:rsidRPr="00C928B6" w:rsidRDefault="00903F60" w:rsidP="00C928B6">
      <w:pPr>
        <w:rPr>
          <w:rFonts w:ascii="Tahoma" w:hAnsi="Tahoma" w:cs="Tahoma"/>
          <w:sz w:val="20"/>
          <w:szCs w:val="16"/>
        </w:rPr>
      </w:pPr>
    </w:p>
    <w:p w14:paraId="43D60D6D" w14:textId="77777777" w:rsidR="00903F60" w:rsidRPr="00C928B6" w:rsidRDefault="00903F60" w:rsidP="00EE3965">
      <w:pPr>
        <w:pStyle w:val="Heading2"/>
      </w:pPr>
      <w:r w:rsidRPr="00C928B6">
        <w:t>Breaches of this policy</w:t>
      </w:r>
      <w:bookmarkEnd w:id="2"/>
      <w:bookmarkEnd w:id="3"/>
    </w:p>
    <w:p w14:paraId="05CDF9C0" w14:textId="254D0BCE" w:rsidR="00903F60" w:rsidRDefault="00EE3965" w:rsidP="00C928B6">
      <w:pPr>
        <w:rPr>
          <w:rFonts w:ascii="Tahoma" w:hAnsi="Tahoma" w:cs="Tahoma"/>
          <w:sz w:val="20"/>
          <w:szCs w:val="16"/>
        </w:rPr>
      </w:pPr>
      <w:r>
        <w:rPr>
          <w:rFonts w:ascii="Tahoma" w:hAnsi="Tahoma" w:cs="Tahoma"/>
          <w:sz w:val="20"/>
          <w:szCs w:val="16"/>
        </w:rPr>
        <w:t>Lightwave</w:t>
      </w:r>
      <w:r w:rsidR="00903F60" w:rsidRPr="00C928B6">
        <w:rPr>
          <w:rFonts w:ascii="Tahoma" w:hAnsi="Tahoma" w:cs="Tahoma"/>
          <w:sz w:val="20"/>
          <w:szCs w:val="16"/>
        </w:rPr>
        <w:t xml:space="preserve"> takes a strict approach to breaches of this policy, which will be dealt with in accordance with the </w:t>
      </w:r>
      <w:r>
        <w:rPr>
          <w:rFonts w:ascii="Tahoma" w:hAnsi="Tahoma" w:cs="Tahoma"/>
          <w:sz w:val="20"/>
          <w:szCs w:val="16"/>
        </w:rPr>
        <w:t xml:space="preserve">Lightwave </w:t>
      </w:r>
      <w:r w:rsidR="00903F60" w:rsidRPr="00C928B6">
        <w:rPr>
          <w:rFonts w:ascii="Tahoma" w:hAnsi="Tahoma" w:cs="Tahoma"/>
          <w:sz w:val="20"/>
          <w:szCs w:val="16"/>
        </w:rPr>
        <w:t>Disciplinary Procedure.  Serious cases of deliberate discrimination may amount to gross misconduct resulting in dismissal.</w:t>
      </w:r>
    </w:p>
    <w:p w14:paraId="17CA9789" w14:textId="77777777" w:rsidR="00A6785A" w:rsidRPr="00C928B6" w:rsidRDefault="00A6785A" w:rsidP="00C928B6">
      <w:pPr>
        <w:rPr>
          <w:rFonts w:ascii="Tahoma" w:hAnsi="Tahoma" w:cs="Tahoma"/>
          <w:sz w:val="20"/>
          <w:szCs w:val="16"/>
        </w:rPr>
      </w:pPr>
    </w:p>
    <w:p w14:paraId="49F2E47C" w14:textId="77777777" w:rsidR="00903F60" w:rsidRPr="00C928B6" w:rsidRDefault="00903F60" w:rsidP="00C928B6">
      <w:pPr>
        <w:rPr>
          <w:rFonts w:ascii="Tahoma" w:hAnsi="Tahoma" w:cs="Tahoma"/>
          <w:sz w:val="20"/>
          <w:szCs w:val="16"/>
        </w:rPr>
      </w:pPr>
      <w:r w:rsidRPr="00C928B6">
        <w:rPr>
          <w:rFonts w:ascii="Tahoma" w:hAnsi="Tahoma" w:cs="Tahoma"/>
          <w:sz w:val="20"/>
          <w:szCs w:val="16"/>
        </w:rPr>
        <w:t>If an employee or volunteer believes that they have suffered discrimination, they can raise the matter through the Grievance Procedure.  Matters raised will be treated in confidence and investigated as appropriate.</w:t>
      </w:r>
      <w:r w:rsidRPr="00C928B6">
        <w:rPr>
          <w:rFonts w:ascii="Tahoma" w:hAnsi="Tahoma" w:cs="Tahoma"/>
          <w:sz w:val="20"/>
          <w:szCs w:val="16"/>
        </w:rPr>
        <w:br/>
      </w:r>
    </w:p>
    <w:p w14:paraId="0634498F" w14:textId="28D32020" w:rsidR="00903F60" w:rsidRDefault="00903F60" w:rsidP="00C928B6">
      <w:pPr>
        <w:rPr>
          <w:rFonts w:ascii="Tahoma" w:hAnsi="Tahoma" w:cs="Tahoma"/>
          <w:sz w:val="20"/>
          <w:szCs w:val="16"/>
        </w:rPr>
      </w:pPr>
      <w:r w:rsidRPr="00C928B6">
        <w:rPr>
          <w:rFonts w:ascii="Tahoma" w:hAnsi="Tahoma" w:cs="Tahoma"/>
          <w:sz w:val="20"/>
          <w:szCs w:val="16"/>
        </w:rPr>
        <w:t>Employees and volunteers must not be victimised or retaliated against for complaining about discrimination. However, making a false allegation deliberately will be treated as misconduct and dealt with under the Disciplinary Procedure.</w:t>
      </w:r>
    </w:p>
    <w:p w14:paraId="46844743" w14:textId="5BAEB4CC" w:rsidR="00EE3965" w:rsidRDefault="00EE3965" w:rsidP="00C928B6">
      <w:pPr>
        <w:rPr>
          <w:rFonts w:ascii="Tahoma" w:hAnsi="Tahoma" w:cs="Tahoma"/>
          <w:sz w:val="20"/>
          <w:szCs w:val="16"/>
        </w:rPr>
      </w:pPr>
    </w:p>
    <w:p w14:paraId="585ADFAF" w14:textId="5E8661D8" w:rsidR="00EE3965" w:rsidRDefault="00EE3965" w:rsidP="00EE3965">
      <w:pPr>
        <w:pStyle w:val="Heading2"/>
      </w:pPr>
      <w:r>
        <w:t>Further information</w:t>
      </w:r>
    </w:p>
    <w:p w14:paraId="159750A8" w14:textId="0D716D63" w:rsidR="00EE3965" w:rsidRPr="00C928B6" w:rsidRDefault="00EE3965" w:rsidP="00EE3965">
      <w:pPr>
        <w:rPr>
          <w:rFonts w:ascii="Tahoma" w:hAnsi="Tahoma" w:cs="Tahoma"/>
          <w:sz w:val="20"/>
          <w:szCs w:val="16"/>
        </w:rPr>
      </w:pPr>
      <w:r>
        <w:rPr>
          <w:rFonts w:ascii="Tahoma" w:hAnsi="Tahoma" w:cs="Tahoma"/>
          <w:sz w:val="20"/>
          <w:szCs w:val="16"/>
        </w:rPr>
        <w:t xml:space="preserve">For further information and guidance see the document </w:t>
      </w:r>
      <w:hyperlink r:id="rId8" w:history="1">
        <w:r w:rsidRPr="00A6785A">
          <w:rPr>
            <w:rStyle w:val="Hyperlink"/>
            <w:rFonts w:ascii="Tahoma" w:hAnsi="Tahoma" w:cs="Tahoma"/>
            <w:b/>
            <w:bCs/>
            <w:sz w:val="20"/>
            <w:szCs w:val="16"/>
          </w:rPr>
          <w:t>Preventing Bullying and Harassment – Encouraging Positive Relationships Policy &amp; Procedures</w:t>
        </w:r>
      </w:hyperlink>
      <w:r w:rsidRPr="00C928B6">
        <w:rPr>
          <w:rFonts w:ascii="Tahoma" w:hAnsi="Tahoma" w:cs="Tahoma"/>
          <w:sz w:val="20"/>
          <w:szCs w:val="16"/>
        </w:rPr>
        <w:t xml:space="preserve"> (Policy adopted at Synod 4 Nov 2017, procedures adopted at Synod 24 Feb 2018)</w:t>
      </w:r>
    </w:p>
    <w:p w14:paraId="05FFDE20" w14:textId="537E1C4C" w:rsidR="00FE7D58" w:rsidRDefault="00FE7D58" w:rsidP="00EE3965">
      <w:pPr>
        <w:rPr>
          <w:rFonts w:ascii="Tahoma" w:hAnsi="Tahoma" w:cs="Tahoma"/>
          <w:sz w:val="20"/>
          <w:szCs w:val="20"/>
        </w:rPr>
      </w:pPr>
    </w:p>
    <w:p w14:paraId="28106554" w14:textId="180C1991" w:rsidR="00A6785A" w:rsidRDefault="00A6785A" w:rsidP="00EE3965">
      <w:pPr>
        <w:rPr>
          <w:rFonts w:ascii="Tahoma" w:hAnsi="Tahoma" w:cs="Tahoma"/>
          <w:sz w:val="20"/>
          <w:szCs w:val="20"/>
        </w:rPr>
      </w:pPr>
    </w:p>
    <w:p w14:paraId="233D7F2F" w14:textId="77777777" w:rsidR="00A6785A" w:rsidRPr="00C06B37" w:rsidRDefault="00A6785A" w:rsidP="00EE3965">
      <w:pPr>
        <w:rPr>
          <w:rFonts w:ascii="Tahoma" w:hAnsi="Tahoma" w:cs="Tahoma"/>
          <w:sz w:val="20"/>
          <w:szCs w:val="20"/>
        </w:rPr>
      </w:pPr>
    </w:p>
    <w:p w14:paraId="7018C3AE" w14:textId="77777777" w:rsidR="00DD59A5" w:rsidRPr="00C06B37" w:rsidRDefault="00DD59A5" w:rsidP="00EE3965">
      <w:pPr>
        <w:ind w:left="357" w:hanging="357"/>
      </w:pPr>
    </w:p>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23"/>
        <w:gridCol w:w="6159"/>
      </w:tblGrid>
      <w:tr w:rsidR="00C06B37" w:rsidRPr="00C06B37" w14:paraId="610CE33F" w14:textId="77777777" w:rsidTr="00EF7049">
        <w:tc>
          <w:tcPr>
            <w:tcW w:w="5000" w:type="pct"/>
            <w:gridSpan w:val="2"/>
            <w:shd w:val="clear" w:color="auto" w:fill="DEEAF6" w:themeFill="accent1" w:themeFillTint="33"/>
          </w:tcPr>
          <w:p w14:paraId="431A3FC3" w14:textId="77777777" w:rsidR="00C06B37" w:rsidRPr="00C06B37" w:rsidRDefault="00C06B37" w:rsidP="00EF7049">
            <w:pPr>
              <w:rPr>
                <w:rFonts w:ascii="Tahoma" w:hAnsi="Tahoma" w:cs="Tahoma"/>
                <w:b/>
                <w:bCs/>
                <w:sz w:val="20"/>
                <w:szCs w:val="20"/>
              </w:rPr>
            </w:pPr>
            <w:r w:rsidRPr="00C06B37">
              <w:rPr>
                <w:rFonts w:ascii="Tahoma" w:hAnsi="Tahoma" w:cs="Tahoma"/>
                <w:b/>
                <w:bCs/>
                <w:sz w:val="20"/>
                <w:szCs w:val="20"/>
              </w:rPr>
              <w:lastRenderedPageBreak/>
              <w:t>Document Control Information</w:t>
            </w:r>
          </w:p>
        </w:tc>
      </w:tr>
      <w:tr w:rsidR="00C06B37" w:rsidRPr="00C06B37" w14:paraId="5672E61E" w14:textId="77777777" w:rsidTr="00EF7049">
        <w:tc>
          <w:tcPr>
            <w:tcW w:w="1786" w:type="pct"/>
          </w:tcPr>
          <w:p w14:paraId="4676C5B2" w14:textId="77777777" w:rsidR="00C06B37" w:rsidRPr="00C06B37" w:rsidRDefault="00C06B37" w:rsidP="00EF7049">
            <w:pPr>
              <w:rPr>
                <w:rFonts w:ascii="Tahoma" w:hAnsi="Tahoma" w:cs="Tahoma"/>
                <w:sz w:val="20"/>
                <w:szCs w:val="20"/>
              </w:rPr>
            </w:pPr>
            <w:r w:rsidRPr="00C06B37">
              <w:rPr>
                <w:rFonts w:ascii="Tahoma" w:hAnsi="Tahoma" w:cs="Tahoma"/>
                <w:sz w:val="20"/>
                <w:szCs w:val="20"/>
              </w:rPr>
              <w:t>Document Owner</w:t>
            </w:r>
          </w:p>
        </w:tc>
        <w:tc>
          <w:tcPr>
            <w:tcW w:w="3214" w:type="pct"/>
          </w:tcPr>
          <w:p w14:paraId="558B2763"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Treasurer</w:t>
            </w:r>
          </w:p>
        </w:tc>
      </w:tr>
      <w:tr w:rsidR="00C06B37" w:rsidRPr="00C06B37" w14:paraId="3329C03E" w14:textId="77777777" w:rsidTr="00EF7049">
        <w:tc>
          <w:tcPr>
            <w:tcW w:w="1786" w:type="pct"/>
          </w:tcPr>
          <w:p w14:paraId="10F2EEFC" w14:textId="77777777" w:rsidR="00C06B37" w:rsidRPr="00C06B37" w:rsidRDefault="00C06B37" w:rsidP="00EF7049">
            <w:pPr>
              <w:rPr>
                <w:rFonts w:ascii="Tahoma" w:hAnsi="Tahoma" w:cs="Tahoma"/>
                <w:sz w:val="20"/>
                <w:szCs w:val="20"/>
              </w:rPr>
            </w:pPr>
            <w:r w:rsidRPr="00C06B37">
              <w:rPr>
                <w:rFonts w:ascii="Tahoma" w:hAnsi="Tahoma" w:cs="Tahoma"/>
                <w:sz w:val="20"/>
                <w:szCs w:val="20"/>
              </w:rPr>
              <w:t>Date Approved:</w:t>
            </w:r>
          </w:p>
        </w:tc>
        <w:tc>
          <w:tcPr>
            <w:tcW w:w="3214" w:type="pct"/>
          </w:tcPr>
          <w:p w14:paraId="52C6E41B" w14:textId="77777777" w:rsidR="00C06B37" w:rsidRPr="00C06B37" w:rsidRDefault="00C06B37" w:rsidP="00EF7049">
            <w:pPr>
              <w:rPr>
                <w:rFonts w:ascii="Tahoma" w:hAnsi="Tahoma" w:cs="Tahoma"/>
                <w:sz w:val="20"/>
                <w:szCs w:val="20"/>
              </w:rPr>
            </w:pPr>
            <w:r w:rsidRPr="00C06B37">
              <w:rPr>
                <w:rFonts w:ascii="Tahoma" w:hAnsi="Tahoma" w:cs="Tahoma"/>
                <w:sz w:val="20"/>
                <w:szCs w:val="20"/>
              </w:rPr>
              <w:t>June 2021 (TBC)</w:t>
            </w:r>
          </w:p>
        </w:tc>
      </w:tr>
      <w:tr w:rsidR="00C06B37" w:rsidRPr="00C06B37" w14:paraId="5D151DAF" w14:textId="77777777" w:rsidTr="00EF7049">
        <w:tc>
          <w:tcPr>
            <w:tcW w:w="1786" w:type="pct"/>
          </w:tcPr>
          <w:p w14:paraId="63C0DB98" w14:textId="77777777" w:rsidR="00C06B37" w:rsidRPr="00C06B37" w:rsidRDefault="00C06B37" w:rsidP="00EF7049">
            <w:pPr>
              <w:rPr>
                <w:rFonts w:ascii="Tahoma" w:hAnsi="Tahoma" w:cs="Tahoma"/>
                <w:sz w:val="20"/>
                <w:szCs w:val="20"/>
              </w:rPr>
            </w:pPr>
            <w:r w:rsidRPr="00C06B37">
              <w:rPr>
                <w:rFonts w:ascii="Tahoma" w:hAnsi="Tahoma" w:cs="Tahoma"/>
                <w:sz w:val="20"/>
                <w:szCs w:val="20"/>
              </w:rPr>
              <w:t xml:space="preserve">Approving Committee: </w:t>
            </w:r>
          </w:p>
        </w:tc>
        <w:tc>
          <w:tcPr>
            <w:tcW w:w="3214" w:type="pct"/>
          </w:tcPr>
          <w:p w14:paraId="78B54496"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Community Council</w:t>
            </w:r>
          </w:p>
        </w:tc>
      </w:tr>
      <w:tr w:rsidR="00C06B37" w:rsidRPr="00C06B37" w14:paraId="1C1D170D" w14:textId="77777777" w:rsidTr="00EF7049">
        <w:tc>
          <w:tcPr>
            <w:tcW w:w="1786" w:type="pct"/>
          </w:tcPr>
          <w:p w14:paraId="0E20B1B2" w14:textId="77777777" w:rsidR="00C06B37" w:rsidRPr="00C06B37" w:rsidRDefault="00C06B37" w:rsidP="00EF7049">
            <w:pPr>
              <w:rPr>
                <w:rFonts w:ascii="Tahoma" w:hAnsi="Tahoma" w:cs="Tahoma"/>
                <w:sz w:val="20"/>
                <w:szCs w:val="20"/>
              </w:rPr>
            </w:pPr>
            <w:r w:rsidRPr="00C06B37">
              <w:rPr>
                <w:rFonts w:ascii="Tahoma" w:hAnsi="Tahoma" w:cs="Tahoma"/>
                <w:sz w:val="20"/>
                <w:szCs w:val="20"/>
              </w:rPr>
              <w:t>Version:</w:t>
            </w:r>
          </w:p>
        </w:tc>
        <w:tc>
          <w:tcPr>
            <w:tcW w:w="3214" w:type="pct"/>
          </w:tcPr>
          <w:p w14:paraId="174DBB74" w14:textId="77777777" w:rsidR="00C06B37" w:rsidRPr="00C06B37" w:rsidRDefault="00C06B37" w:rsidP="00EF7049">
            <w:pPr>
              <w:rPr>
                <w:rFonts w:ascii="Tahoma" w:hAnsi="Tahoma" w:cs="Tahoma"/>
                <w:sz w:val="20"/>
                <w:szCs w:val="20"/>
              </w:rPr>
            </w:pPr>
            <w:r w:rsidRPr="00C06B37">
              <w:rPr>
                <w:rFonts w:ascii="Tahoma" w:hAnsi="Tahoma" w:cs="Tahoma"/>
                <w:sz w:val="20"/>
                <w:szCs w:val="20"/>
              </w:rPr>
              <w:t>V1</w:t>
            </w:r>
          </w:p>
        </w:tc>
      </w:tr>
      <w:tr w:rsidR="00C06B37" w:rsidRPr="00C06B37" w14:paraId="6FE8D490" w14:textId="77777777" w:rsidTr="00EF7049">
        <w:tc>
          <w:tcPr>
            <w:tcW w:w="1786" w:type="pct"/>
          </w:tcPr>
          <w:p w14:paraId="230A1342" w14:textId="77777777" w:rsidR="00C06B37" w:rsidRPr="00C06B37" w:rsidRDefault="00C06B37" w:rsidP="00EF7049">
            <w:pPr>
              <w:rPr>
                <w:rFonts w:ascii="Tahoma" w:hAnsi="Tahoma" w:cs="Tahoma"/>
                <w:sz w:val="20"/>
                <w:szCs w:val="20"/>
              </w:rPr>
            </w:pPr>
            <w:r w:rsidRPr="00C06B37">
              <w:rPr>
                <w:rFonts w:ascii="Tahoma" w:hAnsi="Tahoma" w:cs="Tahoma"/>
                <w:sz w:val="20"/>
                <w:szCs w:val="20"/>
              </w:rPr>
              <w:t xml:space="preserve">Review Committee: </w:t>
            </w:r>
          </w:p>
        </w:tc>
        <w:tc>
          <w:tcPr>
            <w:tcW w:w="3214" w:type="pct"/>
          </w:tcPr>
          <w:p w14:paraId="54919408" w14:textId="77777777" w:rsidR="00C06B37" w:rsidRPr="00C06B37" w:rsidRDefault="00C06B37" w:rsidP="00EF7049">
            <w:pPr>
              <w:rPr>
                <w:rFonts w:ascii="Tahoma" w:hAnsi="Tahoma" w:cs="Tahoma"/>
                <w:sz w:val="20"/>
                <w:szCs w:val="20"/>
              </w:rPr>
            </w:pPr>
            <w:r w:rsidRPr="00C06B37">
              <w:rPr>
                <w:rFonts w:ascii="Tahoma" w:hAnsi="Tahoma" w:cs="Tahoma"/>
                <w:sz w:val="20"/>
                <w:szCs w:val="20"/>
              </w:rPr>
              <w:t>Lightwave Community Council</w:t>
            </w:r>
          </w:p>
        </w:tc>
      </w:tr>
      <w:tr w:rsidR="00C06B37" w:rsidRPr="00C06B37" w14:paraId="1272618C" w14:textId="77777777" w:rsidTr="00EF7049">
        <w:tc>
          <w:tcPr>
            <w:tcW w:w="1786" w:type="pct"/>
          </w:tcPr>
          <w:p w14:paraId="522F9A76" w14:textId="77777777" w:rsidR="00C06B37" w:rsidRPr="00C06B37" w:rsidRDefault="00C06B37" w:rsidP="00EF7049">
            <w:pPr>
              <w:rPr>
                <w:rFonts w:ascii="Tahoma" w:hAnsi="Tahoma" w:cs="Tahoma"/>
                <w:sz w:val="20"/>
                <w:szCs w:val="20"/>
              </w:rPr>
            </w:pPr>
            <w:r w:rsidRPr="00C06B37">
              <w:rPr>
                <w:rFonts w:ascii="Tahoma" w:hAnsi="Tahoma" w:cs="Tahoma"/>
                <w:sz w:val="20"/>
                <w:szCs w:val="20"/>
              </w:rPr>
              <w:t>Review period</w:t>
            </w:r>
          </w:p>
        </w:tc>
        <w:tc>
          <w:tcPr>
            <w:tcW w:w="3214" w:type="pct"/>
          </w:tcPr>
          <w:p w14:paraId="07458E57" w14:textId="77777777" w:rsidR="00C06B37" w:rsidRPr="00C06B37" w:rsidRDefault="00C06B37" w:rsidP="00EF7049">
            <w:pPr>
              <w:rPr>
                <w:rFonts w:ascii="Tahoma" w:hAnsi="Tahoma" w:cs="Tahoma"/>
                <w:sz w:val="20"/>
                <w:szCs w:val="20"/>
              </w:rPr>
            </w:pPr>
            <w:r w:rsidRPr="00C06B37">
              <w:rPr>
                <w:rFonts w:ascii="Tahoma" w:hAnsi="Tahoma" w:cs="Tahoma"/>
                <w:sz w:val="20"/>
                <w:szCs w:val="20"/>
              </w:rPr>
              <w:t>3 years</w:t>
            </w:r>
          </w:p>
        </w:tc>
      </w:tr>
      <w:tr w:rsidR="00C06B37" w:rsidRPr="00C06B37" w14:paraId="7628BA24" w14:textId="77777777" w:rsidTr="00EF7049">
        <w:tc>
          <w:tcPr>
            <w:tcW w:w="1786" w:type="pct"/>
          </w:tcPr>
          <w:p w14:paraId="4914E557" w14:textId="77777777" w:rsidR="00C06B37" w:rsidRPr="00C06B37" w:rsidRDefault="00C06B37" w:rsidP="00EF7049">
            <w:pPr>
              <w:rPr>
                <w:rFonts w:ascii="Tahoma" w:hAnsi="Tahoma" w:cs="Tahoma"/>
                <w:sz w:val="20"/>
                <w:szCs w:val="20"/>
              </w:rPr>
            </w:pPr>
            <w:r w:rsidRPr="00C06B37">
              <w:rPr>
                <w:rFonts w:ascii="Tahoma" w:hAnsi="Tahoma" w:cs="Tahoma"/>
                <w:sz w:val="20"/>
                <w:szCs w:val="20"/>
              </w:rPr>
              <w:t>Review Date:</w:t>
            </w:r>
          </w:p>
        </w:tc>
        <w:tc>
          <w:tcPr>
            <w:tcW w:w="3214" w:type="pct"/>
          </w:tcPr>
          <w:p w14:paraId="41AF1E43" w14:textId="77777777" w:rsidR="00C06B37" w:rsidRPr="00C06B37" w:rsidRDefault="00C06B37" w:rsidP="00EF7049">
            <w:pPr>
              <w:rPr>
                <w:rFonts w:ascii="Tahoma" w:hAnsi="Tahoma" w:cs="Tahoma"/>
                <w:sz w:val="20"/>
                <w:szCs w:val="20"/>
              </w:rPr>
            </w:pPr>
            <w:r w:rsidRPr="00C06B37">
              <w:rPr>
                <w:rFonts w:ascii="Tahoma" w:hAnsi="Tahoma" w:cs="Tahoma"/>
                <w:sz w:val="20"/>
                <w:szCs w:val="20"/>
              </w:rPr>
              <w:t>June 2024</w:t>
            </w:r>
          </w:p>
        </w:tc>
      </w:tr>
      <w:tr w:rsidR="00C06B37" w:rsidRPr="00C06B37" w14:paraId="2345D74A" w14:textId="77777777" w:rsidTr="00EF7049">
        <w:tc>
          <w:tcPr>
            <w:tcW w:w="1786" w:type="pct"/>
          </w:tcPr>
          <w:p w14:paraId="1379F410" w14:textId="77777777" w:rsidR="00C06B37" w:rsidRPr="00C06B37" w:rsidRDefault="00C06B37" w:rsidP="00EF7049">
            <w:pPr>
              <w:rPr>
                <w:rFonts w:ascii="Tahoma" w:hAnsi="Tahoma" w:cs="Tahoma"/>
                <w:sz w:val="20"/>
                <w:szCs w:val="20"/>
              </w:rPr>
            </w:pPr>
            <w:r w:rsidRPr="00C06B37">
              <w:rPr>
                <w:rFonts w:ascii="Tahoma" w:hAnsi="Tahoma" w:cs="Tahoma"/>
                <w:sz w:val="20"/>
                <w:szCs w:val="20"/>
              </w:rPr>
              <w:t>This policy is referenced/required by these other policies</w:t>
            </w:r>
          </w:p>
        </w:tc>
        <w:tc>
          <w:tcPr>
            <w:tcW w:w="3214" w:type="pct"/>
          </w:tcPr>
          <w:p w14:paraId="4894BC64" w14:textId="32F017F8" w:rsidR="00C06B37" w:rsidRDefault="00C06B37" w:rsidP="00EF7049">
            <w:pPr>
              <w:rPr>
                <w:rFonts w:ascii="Tahoma" w:hAnsi="Tahoma" w:cs="Tahoma"/>
                <w:sz w:val="20"/>
                <w:szCs w:val="20"/>
              </w:rPr>
            </w:pPr>
            <w:r w:rsidRPr="00C06B37">
              <w:rPr>
                <w:rFonts w:ascii="Tahoma" w:hAnsi="Tahoma" w:cs="Tahoma"/>
                <w:sz w:val="20"/>
                <w:szCs w:val="20"/>
              </w:rPr>
              <w:t>Employment Contract</w:t>
            </w:r>
          </w:p>
          <w:p w14:paraId="0D0C131C" w14:textId="1D0515E5" w:rsidR="00C06B37" w:rsidRPr="00C06B37" w:rsidRDefault="00EE3965" w:rsidP="00EE3965">
            <w:pPr>
              <w:rPr>
                <w:rFonts w:ascii="Tahoma" w:hAnsi="Tahoma" w:cs="Tahoma"/>
                <w:sz w:val="20"/>
                <w:szCs w:val="20"/>
              </w:rPr>
            </w:pPr>
            <w:r>
              <w:rPr>
                <w:rFonts w:ascii="Tahoma" w:hAnsi="Tahoma" w:cs="Tahoma"/>
                <w:sz w:val="20"/>
                <w:szCs w:val="20"/>
              </w:rPr>
              <w:t>Insurance</w:t>
            </w:r>
          </w:p>
        </w:tc>
      </w:tr>
      <w:tr w:rsidR="00C06B37" w:rsidRPr="00C06B37" w14:paraId="579267A2" w14:textId="77777777" w:rsidTr="00EF7049">
        <w:tc>
          <w:tcPr>
            <w:tcW w:w="1786" w:type="pct"/>
          </w:tcPr>
          <w:p w14:paraId="4960FB9D" w14:textId="77777777" w:rsidR="00C06B37" w:rsidRPr="00C06B37" w:rsidRDefault="00C06B37" w:rsidP="00EF7049">
            <w:pPr>
              <w:rPr>
                <w:rFonts w:ascii="Tahoma" w:hAnsi="Tahoma" w:cs="Tahoma"/>
                <w:sz w:val="20"/>
                <w:szCs w:val="20"/>
              </w:rPr>
            </w:pPr>
            <w:r w:rsidRPr="00C06B37">
              <w:rPr>
                <w:rFonts w:ascii="Tahoma" w:hAnsi="Tahoma" w:cs="Tahoma"/>
                <w:sz w:val="20"/>
                <w:szCs w:val="20"/>
              </w:rPr>
              <w:t>Source document(s)</w:t>
            </w:r>
          </w:p>
        </w:tc>
        <w:tc>
          <w:tcPr>
            <w:tcW w:w="3214" w:type="pct"/>
          </w:tcPr>
          <w:p w14:paraId="645DDBF3" w14:textId="77777777" w:rsidR="00EE3965" w:rsidRDefault="00EE3965" w:rsidP="00EF7049">
            <w:pPr>
              <w:rPr>
                <w:rFonts w:ascii="Tahoma" w:hAnsi="Tahoma" w:cs="Tahoma"/>
                <w:sz w:val="20"/>
                <w:szCs w:val="20"/>
              </w:rPr>
            </w:pPr>
            <w:r>
              <w:rPr>
                <w:rFonts w:ascii="Tahoma" w:hAnsi="Tahoma" w:cs="Tahoma"/>
                <w:sz w:val="20"/>
                <w:szCs w:val="20"/>
              </w:rPr>
              <w:t xml:space="preserve">Fountain of Life Network Church </w:t>
            </w:r>
            <w:r w:rsidRPr="00EE3965">
              <w:rPr>
                <w:rFonts w:ascii="Tahoma" w:hAnsi="Tahoma" w:cs="Tahoma"/>
                <w:sz w:val="20"/>
                <w:szCs w:val="20"/>
              </w:rPr>
              <w:t>Equal Opportunities Policy</w:t>
            </w:r>
          </w:p>
          <w:p w14:paraId="567EFA26" w14:textId="064C329B" w:rsidR="00EE3965" w:rsidRDefault="00EE3965" w:rsidP="00EF7049">
            <w:pPr>
              <w:rPr>
                <w:rFonts w:ascii="Tahoma" w:hAnsi="Tahoma" w:cs="Tahoma"/>
                <w:sz w:val="20"/>
                <w:szCs w:val="20"/>
              </w:rPr>
            </w:pPr>
            <w:r>
              <w:rPr>
                <w:rFonts w:ascii="Tahoma" w:hAnsi="Tahoma" w:cs="Tahoma"/>
                <w:sz w:val="20"/>
                <w:szCs w:val="20"/>
              </w:rPr>
              <w:t xml:space="preserve">Burlington Baptist Church </w:t>
            </w:r>
            <w:r w:rsidR="00A6785A">
              <w:rPr>
                <w:rFonts w:ascii="Tahoma" w:hAnsi="Tahoma" w:cs="Tahoma"/>
                <w:sz w:val="20"/>
                <w:szCs w:val="20"/>
              </w:rPr>
              <w:t xml:space="preserve">/ </w:t>
            </w:r>
            <w:r w:rsidRPr="00EE3965">
              <w:rPr>
                <w:rFonts w:ascii="Tahoma" w:hAnsi="Tahoma" w:cs="Tahoma"/>
                <w:sz w:val="20"/>
                <w:szCs w:val="20"/>
              </w:rPr>
              <w:t>Equal Opportunities Policy</w:t>
            </w:r>
            <w:r w:rsidR="00A6785A">
              <w:rPr>
                <w:rFonts w:ascii="Tahoma" w:hAnsi="Tahoma" w:cs="Tahoma"/>
                <w:sz w:val="20"/>
                <w:szCs w:val="20"/>
              </w:rPr>
              <w:t xml:space="preserve"> (based on Baptist Union of GB template)</w:t>
            </w:r>
          </w:p>
          <w:p w14:paraId="28A185B0" w14:textId="7420A3D1" w:rsidR="00C06B37" w:rsidRPr="00C06B37" w:rsidRDefault="00C06B37" w:rsidP="00EF7049">
            <w:pPr>
              <w:rPr>
                <w:rFonts w:ascii="Tahoma" w:hAnsi="Tahoma" w:cs="Tahoma"/>
                <w:sz w:val="20"/>
                <w:szCs w:val="20"/>
              </w:rPr>
            </w:pPr>
            <w:r w:rsidRPr="00C06B37">
              <w:rPr>
                <w:rFonts w:ascii="Tahoma" w:hAnsi="Tahoma" w:cs="Tahoma"/>
                <w:sz w:val="20"/>
                <w:szCs w:val="20"/>
              </w:rPr>
              <w:t xml:space="preserve">Diocese of St Edmundsbury and Ipswich </w:t>
            </w:r>
            <w:r w:rsidR="00EE3965">
              <w:rPr>
                <w:rFonts w:ascii="Tahoma" w:hAnsi="Tahoma" w:cs="Tahoma"/>
                <w:sz w:val="20"/>
                <w:szCs w:val="20"/>
              </w:rPr>
              <w:t>Equal Opportunities Policy</w:t>
            </w:r>
          </w:p>
        </w:tc>
      </w:tr>
    </w:tbl>
    <w:p w14:paraId="66226CF1" w14:textId="0F2F265A" w:rsidR="00C06B37" w:rsidRDefault="00C06B37" w:rsidP="00A6785A">
      <w:pPr>
        <w:ind w:left="357" w:hanging="357"/>
      </w:pPr>
    </w:p>
    <w:p w14:paraId="1EDEF69B" w14:textId="1F3599FC" w:rsidR="00021D76" w:rsidRPr="00021D76" w:rsidRDefault="00021D76" w:rsidP="00021D76">
      <w:pPr>
        <w:jc w:val="center"/>
        <w:rPr>
          <w:rFonts w:ascii="Tahoma" w:hAnsi="Tahoma" w:cs="Tahoma"/>
          <w:sz w:val="18"/>
          <w:szCs w:val="18"/>
        </w:rPr>
      </w:pPr>
      <w:r w:rsidRPr="00021D76">
        <w:rPr>
          <w:rFonts w:ascii="Tahoma" w:hAnsi="Tahoma" w:cs="Tahoma"/>
          <w:sz w:val="18"/>
          <w:szCs w:val="18"/>
        </w:rPr>
        <w:t>Lightwave Community CIO is registered with the Charities Commission of England and Wales, No. 1193242</w:t>
      </w:r>
    </w:p>
    <w:p w14:paraId="6661165C" w14:textId="1DCA7082" w:rsidR="00021D76" w:rsidRPr="00021D76" w:rsidRDefault="00021D76" w:rsidP="00021D76">
      <w:pPr>
        <w:jc w:val="center"/>
        <w:rPr>
          <w:rFonts w:ascii="Tahoma" w:hAnsi="Tahoma" w:cs="Tahoma"/>
          <w:sz w:val="18"/>
          <w:szCs w:val="18"/>
        </w:rPr>
      </w:pPr>
      <w:r w:rsidRPr="00021D76">
        <w:rPr>
          <w:rFonts w:ascii="Tahoma" w:hAnsi="Tahoma" w:cs="Tahoma"/>
          <w:sz w:val="18"/>
          <w:szCs w:val="18"/>
        </w:rPr>
        <w:t>Registered office: St Nicholas Centre, 4 Cutler Street, Ipswich, IP1 1UQ</w:t>
      </w:r>
    </w:p>
    <w:sectPr w:rsidR="00021D76" w:rsidRPr="00021D76" w:rsidSect="00F75017">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5E65" w14:textId="77777777" w:rsidR="00DF0C84" w:rsidRDefault="00DF0C84" w:rsidP="001413F5">
      <w:r>
        <w:separator/>
      </w:r>
    </w:p>
    <w:p w14:paraId="5F26FF9D" w14:textId="77777777" w:rsidR="00DF0C84" w:rsidRDefault="00DF0C84"/>
  </w:endnote>
  <w:endnote w:type="continuationSeparator" w:id="0">
    <w:p w14:paraId="1F58509C" w14:textId="77777777" w:rsidR="00DF0C84" w:rsidRDefault="00DF0C84" w:rsidP="001413F5">
      <w:r>
        <w:continuationSeparator/>
      </w:r>
    </w:p>
    <w:p w14:paraId="1A1929D8" w14:textId="77777777" w:rsidR="00DF0C84" w:rsidRDefault="00DF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729536"/>
      <w:docPartObj>
        <w:docPartGallery w:val="Page Numbers (Bottom of Page)"/>
        <w:docPartUnique/>
      </w:docPartObj>
    </w:sdtPr>
    <w:sdtEndPr>
      <w:rPr>
        <w:noProof/>
      </w:rPr>
    </w:sdtEndPr>
    <w:sdtContent>
      <w:p w14:paraId="6FC24DED" w14:textId="77777777" w:rsidR="00F75017" w:rsidRDefault="00F75017">
        <w:pPr>
          <w:pStyle w:val="Footer"/>
          <w:jc w:val="center"/>
        </w:pPr>
        <w:r>
          <w:fldChar w:fldCharType="begin"/>
        </w:r>
        <w:r>
          <w:instrText xml:space="preserve"> PAGE   \* MERGEFORMAT </w:instrText>
        </w:r>
        <w:r>
          <w:fldChar w:fldCharType="separate"/>
        </w:r>
        <w:r w:rsidR="00CD677C">
          <w:rPr>
            <w:noProof/>
          </w:rPr>
          <w:t>4</w:t>
        </w:r>
        <w:r>
          <w:rPr>
            <w:noProof/>
          </w:rPr>
          <w:fldChar w:fldCharType="end"/>
        </w:r>
      </w:p>
    </w:sdtContent>
  </w:sdt>
  <w:p w14:paraId="0C347A02" w14:textId="77777777" w:rsidR="00F75017" w:rsidRDefault="00F75017">
    <w:pPr>
      <w:pStyle w:val="Footer"/>
    </w:pPr>
  </w:p>
  <w:p w14:paraId="29B7B735" w14:textId="77777777" w:rsidR="004878FA" w:rsidRDefault="004878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252518"/>
      <w:docPartObj>
        <w:docPartGallery w:val="Page Numbers (Bottom of Page)"/>
        <w:docPartUnique/>
      </w:docPartObj>
    </w:sdtPr>
    <w:sdtEndPr>
      <w:rPr>
        <w:noProof/>
      </w:rPr>
    </w:sdtEndPr>
    <w:sdtContent>
      <w:p w14:paraId="1D5FE188" w14:textId="77777777" w:rsidR="00680A3D" w:rsidRDefault="00DF0C84">
        <w:pPr>
          <w:pStyle w:val="Footer"/>
          <w:jc w:val="center"/>
        </w:pPr>
      </w:p>
    </w:sdtContent>
  </w:sdt>
  <w:p w14:paraId="025BD8C8" w14:textId="77777777" w:rsidR="00680A3D" w:rsidRDefault="0068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081F4" w14:textId="77777777" w:rsidR="00DF0C84" w:rsidRDefault="00DF0C84" w:rsidP="001413F5">
      <w:bookmarkStart w:id="0" w:name="_Hlk74236038"/>
      <w:bookmarkEnd w:id="0"/>
      <w:r>
        <w:separator/>
      </w:r>
    </w:p>
    <w:p w14:paraId="3D464D79" w14:textId="77777777" w:rsidR="00DF0C84" w:rsidRDefault="00DF0C84"/>
  </w:footnote>
  <w:footnote w:type="continuationSeparator" w:id="0">
    <w:p w14:paraId="068E92B4" w14:textId="77777777" w:rsidR="00DF0C84" w:rsidRDefault="00DF0C84" w:rsidP="001413F5">
      <w:r>
        <w:continuationSeparator/>
      </w:r>
    </w:p>
    <w:p w14:paraId="269EC93A" w14:textId="77777777" w:rsidR="00DF0C84" w:rsidRDefault="00DF0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7403" w14:textId="0B5DC5F9" w:rsidR="001413F5" w:rsidRDefault="00C06B37" w:rsidP="00C06B37">
    <w:pPr>
      <w:pStyle w:val="Header"/>
      <w:tabs>
        <w:tab w:val="clear" w:pos="9026"/>
        <w:tab w:val="right" w:pos="9639"/>
      </w:tabs>
    </w:pPr>
    <w:r w:rsidRPr="005E6CE9">
      <w:rPr>
        <w:noProof/>
        <w:sz w:val="44"/>
      </w:rPr>
      <w:drawing>
        <wp:inline distT="0" distB="0" distL="0" distR="0" wp14:anchorId="59E110F2" wp14:editId="2A53FACB">
          <wp:extent cx="2189907" cy="496379"/>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6679" cy="502447"/>
                  </a:xfrm>
                  <a:prstGeom prst="rect">
                    <a:avLst/>
                  </a:prstGeom>
                  <a:noFill/>
                  <a:ln>
                    <a:noFill/>
                  </a:ln>
                </pic:spPr>
              </pic:pic>
            </a:graphicData>
          </a:graphic>
        </wp:inline>
      </w:drawing>
    </w:r>
    <w:r>
      <w:tab/>
    </w:r>
    <w:r>
      <w:tab/>
    </w:r>
    <w:r w:rsidRPr="00033062">
      <w:rPr>
        <w:rFonts w:ascii="Trebuchet MS" w:hAnsi="Trebuchet MS"/>
        <w:noProof/>
      </w:rPr>
      <w:drawing>
        <wp:inline distT="0" distB="0" distL="0" distR="0" wp14:anchorId="1B246BBD" wp14:editId="5F45E73B">
          <wp:extent cx="1702051" cy="49579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18051" cy="500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7889"/>
    <w:multiLevelType w:val="multilevel"/>
    <w:tmpl w:val="E236DF92"/>
    <w:lvl w:ilvl="0">
      <w:start w:val="11"/>
      <w:numFmt w:val="decimal"/>
      <w:lvlText w:val="%1"/>
      <w:lvlJc w:val="left"/>
      <w:pPr>
        <w:ind w:left="495" w:hanging="495"/>
      </w:pPr>
    </w:lvl>
    <w:lvl w:ilvl="1">
      <w:start w:val="2"/>
      <w:numFmt w:val="decimal"/>
      <w:lvlText w:val="%1.%2"/>
      <w:lvlJc w:val="left"/>
      <w:pPr>
        <w:ind w:left="1985" w:hanging="720"/>
      </w:pPr>
      <w:rPr>
        <w:b w:val="0"/>
        <w:bCs w:val="0"/>
        <w:sz w:val="22"/>
        <w:szCs w:val="22"/>
      </w:rPr>
    </w:lvl>
    <w:lvl w:ilvl="2">
      <w:start w:val="1"/>
      <w:numFmt w:val="decimal"/>
      <w:lvlText w:val="%1.%2.%3"/>
      <w:lvlJc w:val="left"/>
      <w:pPr>
        <w:ind w:left="3250" w:hanging="720"/>
      </w:pPr>
    </w:lvl>
    <w:lvl w:ilvl="3">
      <w:start w:val="1"/>
      <w:numFmt w:val="decimal"/>
      <w:lvlText w:val="%1.%2.%3.%4"/>
      <w:lvlJc w:val="left"/>
      <w:pPr>
        <w:ind w:left="4875" w:hanging="1080"/>
      </w:pPr>
    </w:lvl>
    <w:lvl w:ilvl="4">
      <w:start w:val="1"/>
      <w:numFmt w:val="decimal"/>
      <w:lvlText w:val="%1.%2.%3.%4.%5"/>
      <w:lvlJc w:val="left"/>
      <w:pPr>
        <w:ind w:left="6500" w:hanging="1440"/>
      </w:pPr>
    </w:lvl>
    <w:lvl w:ilvl="5">
      <w:start w:val="1"/>
      <w:numFmt w:val="decimal"/>
      <w:lvlText w:val="%1.%2.%3.%4.%5.%6"/>
      <w:lvlJc w:val="left"/>
      <w:pPr>
        <w:ind w:left="7765" w:hanging="1440"/>
      </w:pPr>
    </w:lvl>
    <w:lvl w:ilvl="6">
      <w:start w:val="1"/>
      <w:numFmt w:val="decimal"/>
      <w:lvlText w:val="%1.%2.%3.%4.%5.%6.%7"/>
      <w:lvlJc w:val="left"/>
      <w:pPr>
        <w:ind w:left="9390" w:hanging="1800"/>
      </w:pPr>
    </w:lvl>
    <w:lvl w:ilvl="7">
      <w:start w:val="1"/>
      <w:numFmt w:val="decimal"/>
      <w:lvlText w:val="%1.%2.%3.%4.%5.%6.%7.%8"/>
      <w:lvlJc w:val="left"/>
      <w:pPr>
        <w:ind w:left="11015" w:hanging="2160"/>
      </w:pPr>
    </w:lvl>
    <w:lvl w:ilvl="8">
      <w:start w:val="1"/>
      <w:numFmt w:val="decimal"/>
      <w:lvlText w:val="%1.%2.%3.%4.%5.%6.%7.%8.%9"/>
      <w:lvlJc w:val="left"/>
      <w:pPr>
        <w:ind w:left="12640" w:hanging="2520"/>
      </w:pPr>
    </w:lvl>
  </w:abstractNum>
  <w:abstractNum w:abstractNumId="1" w15:restartNumberingAfterBreak="0">
    <w:nsid w:val="21852C47"/>
    <w:multiLevelType w:val="multilevel"/>
    <w:tmpl w:val="AB7C5CEE"/>
    <w:lvl w:ilvl="0">
      <w:start w:val="12"/>
      <w:numFmt w:val="decimal"/>
      <w:lvlText w:val="%1."/>
      <w:lvlJc w:val="left"/>
      <w:pPr>
        <w:ind w:left="786" w:hanging="360"/>
      </w:pPr>
    </w:lvl>
    <w:lvl w:ilvl="1">
      <w:start w:val="1"/>
      <w:numFmt w:val="decimal"/>
      <w:isLgl/>
      <w:lvlText w:val="%1.%2"/>
      <w:lvlJc w:val="left"/>
      <w:pPr>
        <w:ind w:left="1146" w:hanging="720"/>
      </w:pPr>
      <w:rPr>
        <w:b w:val="0"/>
        <w:bCs w:val="0"/>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866" w:hanging="144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586" w:hanging="2160"/>
      </w:pPr>
    </w:lvl>
    <w:lvl w:ilvl="8">
      <w:start w:val="1"/>
      <w:numFmt w:val="decimal"/>
      <w:isLgl/>
      <w:lvlText w:val="%1.%2.%3.%4.%5.%6.%7.%8.%9"/>
      <w:lvlJc w:val="left"/>
      <w:pPr>
        <w:ind w:left="2946" w:hanging="2520"/>
      </w:pPr>
    </w:lvl>
  </w:abstractNum>
  <w:abstractNum w:abstractNumId="2" w15:restartNumberingAfterBreak="0">
    <w:nsid w:val="58C844DF"/>
    <w:multiLevelType w:val="hybridMultilevel"/>
    <w:tmpl w:val="CD7474DC"/>
    <w:lvl w:ilvl="0" w:tplc="77BCF1A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4D25EC"/>
    <w:multiLevelType w:val="multilevel"/>
    <w:tmpl w:val="678A7BD0"/>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61256C4"/>
    <w:multiLevelType w:val="multilevel"/>
    <w:tmpl w:val="132E140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6B"/>
    <w:rsid w:val="00021D76"/>
    <w:rsid w:val="0002686B"/>
    <w:rsid w:val="000301D6"/>
    <w:rsid w:val="00037442"/>
    <w:rsid w:val="000C7CD6"/>
    <w:rsid w:val="00120166"/>
    <w:rsid w:val="00132596"/>
    <w:rsid w:val="001413F5"/>
    <w:rsid w:val="00153BD4"/>
    <w:rsid w:val="00196C48"/>
    <w:rsid w:val="00215076"/>
    <w:rsid w:val="002166A8"/>
    <w:rsid w:val="00291DC6"/>
    <w:rsid w:val="002A0058"/>
    <w:rsid w:val="002A1736"/>
    <w:rsid w:val="002A1BBB"/>
    <w:rsid w:val="003377FF"/>
    <w:rsid w:val="00377B15"/>
    <w:rsid w:val="004511A2"/>
    <w:rsid w:val="00456CF5"/>
    <w:rsid w:val="004878FA"/>
    <w:rsid w:val="005036A7"/>
    <w:rsid w:val="005B0D12"/>
    <w:rsid w:val="00611CF6"/>
    <w:rsid w:val="00611D47"/>
    <w:rsid w:val="0062027A"/>
    <w:rsid w:val="00637410"/>
    <w:rsid w:val="00641A2B"/>
    <w:rsid w:val="006465B1"/>
    <w:rsid w:val="00680A3D"/>
    <w:rsid w:val="006E2134"/>
    <w:rsid w:val="006F1352"/>
    <w:rsid w:val="007428C5"/>
    <w:rsid w:val="007676CE"/>
    <w:rsid w:val="0079651B"/>
    <w:rsid w:val="007B58B4"/>
    <w:rsid w:val="007E1410"/>
    <w:rsid w:val="0082222C"/>
    <w:rsid w:val="008265E5"/>
    <w:rsid w:val="008852BA"/>
    <w:rsid w:val="00897D18"/>
    <w:rsid w:val="008B3D38"/>
    <w:rsid w:val="00903F60"/>
    <w:rsid w:val="00983A4C"/>
    <w:rsid w:val="009956D1"/>
    <w:rsid w:val="00A06AFD"/>
    <w:rsid w:val="00A57215"/>
    <w:rsid w:val="00A6785A"/>
    <w:rsid w:val="00AA318D"/>
    <w:rsid w:val="00AD0FD0"/>
    <w:rsid w:val="00AE12FF"/>
    <w:rsid w:val="00B25975"/>
    <w:rsid w:val="00B33FF4"/>
    <w:rsid w:val="00B73722"/>
    <w:rsid w:val="00BA29E8"/>
    <w:rsid w:val="00BD2AEA"/>
    <w:rsid w:val="00BF3B66"/>
    <w:rsid w:val="00C06B37"/>
    <w:rsid w:val="00C354F8"/>
    <w:rsid w:val="00C54506"/>
    <w:rsid w:val="00C608D5"/>
    <w:rsid w:val="00C779A5"/>
    <w:rsid w:val="00C833CA"/>
    <w:rsid w:val="00C8346A"/>
    <w:rsid w:val="00C9071F"/>
    <w:rsid w:val="00C928B6"/>
    <w:rsid w:val="00CC5141"/>
    <w:rsid w:val="00CD677C"/>
    <w:rsid w:val="00CE2952"/>
    <w:rsid w:val="00CF3AE7"/>
    <w:rsid w:val="00D45810"/>
    <w:rsid w:val="00DB3709"/>
    <w:rsid w:val="00DD59A5"/>
    <w:rsid w:val="00DF0C84"/>
    <w:rsid w:val="00DF20A2"/>
    <w:rsid w:val="00E00D33"/>
    <w:rsid w:val="00E03857"/>
    <w:rsid w:val="00E216A9"/>
    <w:rsid w:val="00E23CB6"/>
    <w:rsid w:val="00E4365F"/>
    <w:rsid w:val="00E470D8"/>
    <w:rsid w:val="00E601BF"/>
    <w:rsid w:val="00E73292"/>
    <w:rsid w:val="00E736A7"/>
    <w:rsid w:val="00E95B5E"/>
    <w:rsid w:val="00EA5A3A"/>
    <w:rsid w:val="00EB7990"/>
    <w:rsid w:val="00ED5EEE"/>
    <w:rsid w:val="00EE3965"/>
    <w:rsid w:val="00EF6E58"/>
    <w:rsid w:val="00F5012E"/>
    <w:rsid w:val="00F66201"/>
    <w:rsid w:val="00F75017"/>
    <w:rsid w:val="00FE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3C6"/>
  <w15:docId w15:val="{E2FC1D0D-1EE4-4635-A76B-BBA9B237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6B37"/>
    <w:pPr>
      <w:keepNext/>
      <w:keepLines/>
      <w:numPr>
        <w:numId w:val="5"/>
      </w:numPr>
      <w:spacing w:before="240" w:after="120"/>
      <w:outlineLvl w:val="0"/>
    </w:pPr>
    <w:rPr>
      <w:rFonts w:ascii="Century Gothic" w:eastAsiaTheme="minorHAnsi" w:hAnsi="Century Gothic" w:cstheme="majorBidi"/>
      <w:b/>
      <w:bCs/>
      <w:spacing w:val="-3"/>
      <w:sz w:val="32"/>
      <w:szCs w:val="32"/>
    </w:rPr>
  </w:style>
  <w:style w:type="paragraph" w:styleId="Heading2">
    <w:name w:val="heading 2"/>
    <w:basedOn w:val="Normal"/>
    <w:next w:val="Normal"/>
    <w:link w:val="Heading2Char"/>
    <w:qFormat/>
    <w:rsid w:val="00C928B6"/>
    <w:pPr>
      <w:keepNext/>
      <w:numPr>
        <w:ilvl w:val="1"/>
        <w:numId w:val="5"/>
      </w:numPr>
      <w:spacing w:after="60"/>
      <w:ind w:left="403" w:hanging="403"/>
      <w:jc w:val="both"/>
      <w:outlineLvl w:val="1"/>
    </w:pPr>
    <w:rPr>
      <w:rFonts w:ascii="Arial" w:hAnsi="Arial"/>
      <w:b/>
      <w:bCs/>
      <w:szCs w:val="20"/>
    </w:rPr>
  </w:style>
  <w:style w:type="paragraph" w:styleId="Heading4">
    <w:name w:val="heading 4"/>
    <w:basedOn w:val="Normal"/>
    <w:next w:val="Normal"/>
    <w:link w:val="Heading4Char"/>
    <w:qFormat/>
    <w:rsid w:val="0002686B"/>
    <w:pPr>
      <w:keepNext/>
      <w:ind w:left="720"/>
      <w:outlineLvl w:val="3"/>
    </w:pPr>
    <w:rPr>
      <w:rFonts w:ascii="Arial" w:hAnsi="Arial" w:cs="Arial"/>
      <w:u w:val="single"/>
    </w:rPr>
  </w:style>
  <w:style w:type="paragraph" w:styleId="Heading9">
    <w:name w:val="heading 9"/>
    <w:basedOn w:val="Normal"/>
    <w:next w:val="Normal"/>
    <w:link w:val="Heading9Char"/>
    <w:qFormat/>
    <w:rsid w:val="0002686B"/>
    <w:pPr>
      <w:keepNext/>
      <w:outlineLvl w:val="8"/>
    </w:pPr>
    <w:rPr>
      <w:rFonts w:ascii="Arial" w:hAnsi="Arial" w:cs="Arial"/>
      <w:color w:val="9933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28B6"/>
    <w:rPr>
      <w:rFonts w:ascii="Arial" w:eastAsia="Times New Roman" w:hAnsi="Arial" w:cs="Times New Roman"/>
      <w:b/>
      <w:bCs/>
      <w:sz w:val="24"/>
      <w:szCs w:val="20"/>
    </w:rPr>
  </w:style>
  <w:style w:type="character" w:customStyle="1" w:styleId="Heading4Char">
    <w:name w:val="Heading 4 Char"/>
    <w:basedOn w:val="DefaultParagraphFont"/>
    <w:link w:val="Heading4"/>
    <w:rsid w:val="0002686B"/>
    <w:rPr>
      <w:rFonts w:ascii="Arial" w:eastAsia="Times New Roman" w:hAnsi="Arial" w:cs="Arial"/>
      <w:sz w:val="24"/>
      <w:szCs w:val="24"/>
      <w:u w:val="single"/>
    </w:rPr>
  </w:style>
  <w:style w:type="character" w:customStyle="1" w:styleId="Heading9Char">
    <w:name w:val="Heading 9 Char"/>
    <w:basedOn w:val="DefaultParagraphFont"/>
    <w:link w:val="Heading9"/>
    <w:rsid w:val="0002686B"/>
    <w:rPr>
      <w:rFonts w:ascii="Arial" w:eastAsia="Times New Roman" w:hAnsi="Arial" w:cs="Arial"/>
      <w:color w:val="993366"/>
      <w:sz w:val="28"/>
      <w:szCs w:val="24"/>
    </w:rPr>
  </w:style>
  <w:style w:type="paragraph" w:customStyle="1" w:styleId="HbkHeading2">
    <w:name w:val="Hbk Heading 2"/>
    <w:basedOn w:val="Normal"/>
    <w:rsid w:val="0002686B"/>
    <w:pPr>
      <w:jc w:val="both"/>
    </w:pPr>
    <w:rPr>
      <w:rFonts w:ascii="Arial" w:hAnsi="Arial"/>
      <w:b/>
      <w:bCs/>
      <w:sz w:val="22"/>
      <w:u w:val="single"/>
    </w:rPr>
  </w:style>
  <w:style w:type="paragraph" w:customStyle="1" w:styleId="HbkHeading3">
    <w:name w:val="Hbk Heading 3"/>
    <w:basedOn w:val="Normal"/>
    <w:link w:val="HbkHeading3Char"/>
    <w:rsid w:val="0002686B"/>
    <w:pPr>
      <w:jc w:val="both"/>
    </w:pPr>
    <w:rPr>
      <w:rFonts w:ascii="Arial" w:hAnsi="Arial"/>
      <w:sz w:val="22"/>
    </w:rPr>
  </w:style>
  <w:style w:type="paragraph" w:styleId="BodyTextIndent">
    <w:name w:val="Body Text Indent"/>
    <w:basedOn w:val="Normal"/>
    <w:link w:val="BodyTextIndentChar"/>
    <w:rsid w:val="0002686B"/>
    <w:pPr>
      <w:ind w:left="1440"/>
      <w:jc w:val="both"/>
    </w:pPr>
    <w:rPr>
      <w:rFonts w:ascii="Arial" w:hAnsi="Arial"/>
    </w:rPr>
  </w:style>
  <w:style w:type="character" w:customStyle="1" w:styleId="BodyTextIndentChar">
    <w:name w:val="Body Text Indent Char"/>
    <w:basedOn w:val="DefaultParagraphFont"/>
    <w:link w:val="BodyTextIndent"/>
    <w:rsid w:val="0002686B"/>
    <w:rPr>
      <w:rFonts w:ascii="Arial" w:eastAsia="Times New Roman" w:hAnsi="Arial" w:cs="Times New Roman"/>
      <w:sz w:val="24"/>
      <w:szCs w:val="24"/>
    </w:rPr>
  </w:style>
  <w:style w:type="paragraph" w:styleId="BodyTextIndent3">
    <w:name w:val="Body Text Indent 3"/>
    <w:basedOn w:val="Normal"/>
    <w:link w:val="BodyTextIndent3Char"/>
    <w:rsid w:val="0002686B"/>
    <w:pPr>
      <w:ind w:left="720"/>
      <w:jc w:val="both"/>
    </w:pPr>
    <w:rPr>
      <w:rFonts w:ascii="Arial" w:hAnsi="Arial"/>
      <w:szCs w:val="20"/>
    </w:rPr>
  </w:style>
  <w:style w:type="character" w:customStyle="1" w:styleId="BodyTextIndent3Char">
    <w:name w:val="Body Text Indent 3 Char"/>
    <w:basedOn w:val="DefaultParagraphFont"/>
    <w:link w:val="BodyTextIndent3"/>
    <w:rsid w:val="0002686B"/>
    <w:rPr>
      <w:rFonts w:ascii="Arial" w:eastAsia="Times New Roman" w:hAnsi="Arial" w:cs="Times New Roman"/>
      <w:sz w:val="24"/>
      <w:szCs w:val="20"/>
    </w:rPr>
  </w:style>
  <w:style w:type="paragraph" w:styleId="ListParagraph">
    <w:name w:val="List Paragraph"/>
    <w:basedOn w:val="Normal"/>
    <w:uiPriority w:val="34"/>
    <w:qFormat/>
    <w:rsid w:val="00B25975"/>
    <w:pPr>
      <w:numPr>
        <w:numId w:val="4"/>
      </w:numPr>
      <w:spacing w:beforeLines="60" w:before="144" w:afterLines="60" w:after="144"/>
      <w:ind w:left="357" w:hanging="357"/>
    </w:pPr>
    <w:rPr>
      <w:rFonts w:ascii="Tahoma" w:eastAsia="Calibri" w:hAnsi="Tahoma" w:cs="Tahoma"/>
      <w:sz w:val="20"/>
      <w:szCs w:val="20"/>
    </w:rPr>
  </w:style>
  <w:style w:type="character" w:customStyle="1" w:styleId="HbkHeading3Char">
    <w:name w:val="Hbk Heading 3 Char"/>
    <w:basedOn w:val="DefaultParagraphFont"/>
    <w:link w:val="HbkHeading3"/>
    <w:rsid w:val="0002686B"/>
    <w:rPr>
      <w:rFonts w:ascii="Arial" w:eastAsia="Times New Roman" w:hAnsi="Arial" w:cs="Times New Roman"/>
      <w:szCs w:val="24"/>
    </w:rPr>
  </w:style>
  <w:style w:type="paragraph" w:styleId="Header">
    <w:name w:val="header"/>
    <w:basedOn w:val="Normal"/>
    <w:link w:val="HeaderChar"/>
    <w:unhideWhenUsed/>
    <w:rsid w:val="001413F5"/>
    <w:pPr>
      <w:tabs>
        <w:tab w:val="center" w:pos="4513"/>
        <w:tab w:val="right" w:pos="9026"/>
      </w:tabs>
    </w:pPr>
  </w:style>
  <w:style w:type="character" w:customStyle="1" w:styleId="HeaderChar">
    <w:name w:val="Header Char"/>
    <w:basedOn w:val="DefaultParagraphFont"/>
    <w:link w:val="Header"/>
    <w:uiPriority w:val="99"/>
    <w:rsid w:val="001413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3F5"/>
    <w:pPr>
      <w:tabs>
        <w:tab w:val="center" w:pos="4513"/>
        <w:tab w:val="right" w:pos="9026"/>
      </w:tabs>
    </w:pPr>
  </w:style>
  <w:style w:type="character" w:customStyle="1" w:styleId="FooterChar">
    <w:name w:val="Footer Char"/>
    <w:basedOn w:val="DefaultParagraphFont"/>
    <w:link w:val="Footer"/>
    <w:uiPriority w:val="99"/>
    <w:rsid w:val="001413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017"/>
    <w:rPr>
      <w:rFonts w:ascii="Segoe UI" w:eastAsia="Times New Roman" w:hAnsi="Segoe UI" w:cs="Segoe UI"/>
      <w:sz w:val="18"/>
      <w:szCs w:val="18"/>
    </w:rPr>
  </w:style>
  <w:style w:type="paragraph" w:styleId="BlockText">
    <w:name w:val="Block Text"/>
    <w:basedOn w:val="Normal"/>
    <w:rsid w:val="00C779A5"/>
    <w:pPr>
      <w:tabs>
        <w:tab w:val="left" w:pos="540"/>
      </w:tabs>
      <w:ind w:left="540" w:right="386"/>
      <w:jc w:val="both"/>
    </w:pPr>
    <w:rPr>
      <w:rFonts w:ascii="Arial" w:hAnsi="Arial" w:cs="Arial"/>
      <w:sz w:val="20"/>
    </w:rPr>
  </w:style>
  <w:style w:type="character" w:customStyle="1" w:styleId="Heading1Char">
    <w:name w:val="Heading 1 Char"/>
    <w:basedOn w:val="DefaultParagraphFont"/>
    <w:link w:val="Heading1"/>
    <w:uiPriority w:val="9"/>
    <w:rsid w:val="00C06B37"/>
    <w:rPr>
      <w:rFonts w:ascii="Century Gothic" w:hAnsi="Century Gothic" w:cstheme="majorBidi"/>
      <w:b/>
      <w:bCs/>
      <w:spacing w:val="-3"/>
      <w:sz w:val="32"/>
      <w:szCs w:val="32"/>
    </w:rPr>
  </w:style>
  <w:style w:type="paragraph" w:styleId="NormalWeb">
    <w:name w:val="Normal (Web)"/>
    <w:basedOn w:val="Normal"/>
    <w:uiPriority w:val="99"/>
    <w:semiHidden/>
    <w:unhideWhenUsed/>
    <w:rsid w:val="00611CF6"/>
    <w:pPr>
      <w:spacing w:before="100" w:beforeAutospacing="1" w:after="100" w:afterAutospacing="1"/>
    </w:pPr>
    <w:rPr>
      <w:lang w:eastAsia="en-GB"/>
    </w:rPr>
  </w:style>
  <w:style w:type="table" w:styleId="TableGrid">
    <w:name w:val="Table Grid"/>
    <w:basedOn w:val="TableNormal"/>
    <w:uiPriority w:val="39"/>
    <w:rsid w:val="00C06B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D58"/>
    <w:rPr>
      <w:color w:val="0563C1" w:themeColor="hyperlink"/>
      <w:u w:val="single"/>
    </w:rPr>
  </w:style>
  <w:style w:type="character" w:styleId="UnresolvedMention">
    <w:name w:val="Unresolved Mention"/>
    <w:basedOn w:val="DefaultParagraphFont"/>
    <w:uiPriority w:val="99"/>
    <w:semiHidden/>
    <w:unhideWhenUsed/>
    <w:rsid w:val="00FE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4179">
      <w:bodyDiv w:val="1"/>
      <w:marLeft w:val="0"/>
      <w:marRight w:val="0"/>
      <w:marTop w:val="0"/>
      <w:marBottom w:val="0"/>
      <w:divBdr>
        <w:top w:val="none" w:sz="0" w:space="0" w:color="auto"/>
        <w:left w:val="none" w:sz="0" w:space="0" w:color="auto"/>
        <w:bottom w:val="none" w:sz="0" w:space="0" w:color="auto"/>
        <w:right w:val="none" w:sz="0" w:space="0" w:color="auto"/>
      </w:divBdr>
    </w:div>
    <w:div w:id="680396038">
      <w:bodyDiv w:val="1"/>
      <w:marLeft w:val="0"/>
      <w:marRight w:val="0"/>
      <w:marTop w:val="0"/>
      <w:marBottom w:val="0"/>
      <w:divBdr>
        <w:top w:val="none" w:sz="0" w:space="0" w:color="auto"/>
        <w:left w:val="none" w:sz="0" w:space="0" w:color="auto"/>
        <w:bottom w:val="none" w:sz="0" w:space="0" w:color="auto"/>
        <w:right w:val="none" w:sz="0" w:space="0" w:color="auto"/>
      </w:divBdr>
    </w:div>
    <w:div w:id="19554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hgrlq6yacptf.cloudfront.net/5f214e41ab1e4/content/pages/documents/158937988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BF77-96AB-4661-9B6E-F17DB912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Lock Lisa</dc:creator>
  <cp:lastModifiedBy>Andrew Gosden</cp:lastModifiedBy>
  <cp:revision>3</cp:revision>
  <cp:lastPrinted>2017-10-27T11:04:00Z</cp:lastPrinted>
  <dcterms:created xsi:type="dcterms:W3CDTF">2021-06-17T12:03:00Z</dcterms:created>
  <dcterms:modified xsi:type="dcterms:W3CDTF">2021-06-17T14:31:00Z</dcterms:modified>
</cp:coreProperties>
</file>